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1B464121" w14:textId="77777777" w:rsidTr="005F7F7E">
        <w:tc>
          <w:tcPr>
            <w:tcW w:w="2438" w:type="dxa"/>
            <w:shd w:val="clear" w:color="auto" w:fill="auto"/>
          </w:tcPr>
          <w:p w14:paraId="1B46411F"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1B464120" w14:textId="4934B1A9" w:rsidR="00F445B1" w:rsidRPr="00F95BC9" w:rsidRDefault="006C3BE1" w:rsidP="004A6D2F">
            <w:pPr>
              <w:rPr>
                <w:rStyle w:val="Firstpagetablebold"/>
              </w:rPr>
            </w:pPr>
            <w:r>
              <w:rPr>
                <w:rStyle w:val="Firstpagetablebold"/>
              </w:rPr>
              <w:t xml:space="preserve">Audit and Governance Committee </w:t>
            </w:r>
          </w:p>
        </w:tc>
      </w:tr>
      <w:tr w:rsidR="00CE544A" w:rsidRPr="00975B07" w14:paraId="1B464124" w14:textId="77777777" w:rsidTr="005F7F7E">
        <w:tc>
          <w:tcPr>
            <w:tcW w:w="2438" w:type="dxa"/>
            <w:shd w:val="clear" w:color="auto" w:fill="auto"/>
          </w:tcPr>
          <w:p w14:paraId="1B464122"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1B464123" w14:textId="6B745A12" w:rsidR="00F445B1" w:rsidRPr="001356F1" w:rsidRDefault="008D4A87" w:rsidP="005D0621">
            <w:pPr>
              <w:rPr>
                <w:b/>
              </w:rPr>
            </w:pPr>
            <w:r>
              <w:rPr>
                <w:rStyle w:val="Firstpagetablebold"/>
              </w:rPr>
              <w:t>29 October 2024</w:t>
            </w:r>
          </w:p>
        </w:tc>
      </w:tr>
      <w:tr w:rsidR="00CE544A" w:rsidRPr="00975B07" w14:paraId="1B464127" w14:textId="77777777" w:rsidTr="005F7F7E">
        <w:tc>
          <w:tcPr>
            <w:tcW w:w="2438" w:type="dxa"/>
            <w:shd w:val="clear" w:color="auto" w:fill="auto"/>
          </w:tcPr>
          <w:p w14:paraId="1B46412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1B464126" w14:textId="240660ED" w:rsidR="00F445B1" w:rsidRPr="001356F1" w:rsidRDefault="00C9740C" w:rsidP="004A6D2F">
            <w:pPr>
              <w:rPr>
                <w:rStyle w:val="Firstpagetablebold"/>
              </w:rPr>
            </w:pPr>
            <w:r>
              <w:rPr>
                <w:rStyle w:val="Firstpagetablebold"/>
              </w:rPr>
              <w:t>Head of Law and Governance (Monitoring Officer)</w:t>
            </w:r>
          </w:p>
        </w:tc>
      </w:tr>
      <w:tr w:rsidR="00CE544A" w:rsidRPr="00975B07" w14:paraId="1B46412A" w14:textId="77777777" w:rsidTr="005F7F7E">
        <w:tc>
          <w:tcPr>
            <w:tcW w:w="2438" w:type="dxa"/>
            <w:shd w:val="clear" w:color="auto" w:fill="auto"/>
          </w:tcPr>
          <w:p w14:paraId="1B464128"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1B464129" w14:textId="6A599B69" w:rsidR="00F445B1" w:rsidRPr="001356F1" w:rsidRDefault="000E5C68" w:rsidP="004A6D2F">
            <w:pPr>
              <w:rPr>
                <w:rStyle w:val="Firstpagetablebold"/>
              </w:rPr>
            </w:pPr>
            <w:r>
              <w:rPr>
                <w:rStyle w:val="Firstpagetablebold"/>
              </w:rPr>
              <w:t xml:space="preserve">2023/2024 </w:t>
            </w:r>
            <w:r w:rsidR="006C3BE1">
              <w:rPr>
                <w:rStyle w:val="Firstpagetablebold"/>
              </w:rPr>
              <w:t xml:space="preserve">Annual Governance Statement </w:t>
            </w:r>
          </w:p>
        </w:tc>
      </w:tr>
    </w:tbl>
    <w:p w14:paraId="1B46412B"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1B46412D" w14:textId="77777777" w:rsidTr="15668CAC">
        <w:tc>
          <w:tcPr>
            <w:tcW w:w="8845" w:type="dxa"/>
            <w:gridSpan w:val="3"/>
            <w:tcBorders>
              <w:bottom w:val="single" w:sz="8" w:space="0" w:color="000000" w:themeColor="text1"/>
            </w:tcBorders>
            <w:hideMark/>
          </w:tcPr>
          <w:p w14:paraId="1B46412C"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B464130" w14:textId="77777777" w:rsidTr="15668CAC">
        <w:tc>
          <w:tcPr>
            <w:tcW w:w="2438" w:type="dxa"/>
            <w:gridSpan w:val="2"/>
            <w:tcBorders>
              <w:top w:val="single" w:sz="8" w:space="0" w:color="000000" w:themeColor="text1"/>
              <w:left w:val="single" w:sz="8" w:space="0" w:color="000000" w:themeColor="text1"/>
              <w:bottom w:val="nil"/>
              <w:right w:val="nil"/>
            </w:tcBorders>
            <w:hideMark/>
          </w:tcPr>
          <w:p w14:paraId="1B46412E"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7063FFDC" w14:textId="77777777" w:rsidR="00D5547E" w:rsidRDefault="00273B89" w:rsidP="00821AAF">
            <w:r>
              <w:t xml:space="preserve">To present the 2023/2024 Annual Governance Statement for approval. </w:t>
            </w:r>
          </w:p>
          <w:p w14:paraId="1B46412F" w14:textId="68CA0D4F" w:rsidR="007300C8" w:rsidRPr="001356F1" w:rsidRDefault="007300C8" w:rsidP="00821AAF">
            <w:r>
              <w:t xml:space="preserve">To present the refreshed Code of Corporate Governance for approval. </w:t>
            </w:r>
          </w:p>
        </w:tc>
      </w:tr>
      <w:tr w:rsidR="005F7F7E" w:rsidRPr="00975B07" w14:paraId="1B46413E" w14:textId="77777777" w:rsidTr="15668CAC">
        <w:trPr>
          <w:trHeight w:val="413"/>
        </w:trPr>
        <w:tc>
          <w:tcPr>
            <w:tcW w:w="8845" w:type="dxa"/>
            <w:gridSpan w:val="3"/>
            <w:tcBorders>
              <w:bottom w:val="single" w:sz="8" w:space="0" w:color="000000" w:themeColor="text1"/>
            </w:tcBorders>
          </w:tcPr>
          <w:p w14:paraId="1B46413D" w14:textId="0096A0C0" w:rsidR="005F7F7E" w:rsidRPr="00975B07" w:rsidRDefault="005F7F7E" w:rsidP="00821AAF">
            <w:r>
              <w:rPr>
                <w:rStyle w:val="Firstpagetablebold"/>
              </w:rPr>
              <w:t>Recommendation(s):</w:t>
            </w:r>
            <w:r w:rsidR="2BEE017B" w:rsidRPr="3C8FFCEC">
              <w:rPr>
                <w:rStyle w:val="Firstpagetablebold"/>
              </w:rPr>
              <w:t xml:space="preserve"> </w:t>
            </w:r>
            <w:r>
              <w:rPr>
                <w:rStyle w:val="Firstpagetablebold"/>
              </w:rPr>
              <w:t xml:space="preserve">That the </w:t>
            </w:r>
            <w:r w:rsidR="000C6912">
              <w:rPr>
                <w:rStyle w:val="Firstpagetablebold"/>
              </w:rPr>
              <w:t xml:space="preserve">Audit &amp; Governance </w:t>
            </w:r>
            <w:r w:rsidR="00821AAF">
              <w:rPr>
                <w:rStyle w:val="Firstpagetablebold"/>
              </w:rPr>
              <w:t>Committee</w:t>
            </w:r>
            <w:r>
              <w:rPr>
                <w:rStyle w:val="Firstpagetablebold"/>
              </w:rPr>
              <w:t xml:space="preserve"> resolves to:</w:t>
            </w:r>
          </w:p>
        </w:tc>
      </w:tr>
      <w:tr w:rsidR="0030208D" w:rsidRPr="00975B07" w14:paraId="1B464141" w14:textId="77777777" w:rsidTr="15668CAC">
        <w:trPr>
          <w:trHeight w:val="283"/>
        </w:trPr>
        <w:tc>
          <w:tcPr>
            <w:tcW w:w="426" w:type="dxa"/>
            <w:tcBorders>
              <w:top w:val="single" w:sz="8" w:space="0" w:color="000000" w:themeColor="text1"/>
              <w:left w:val="single" w:sz="8" w:space="0" w:color="000000" w:themeColor="text1"/>
              <w:bottom w:val="nil"/>
              <w:right w:val="nil"/>
            </w:tcBorders>
          </w:tcPr>
          <w:p w14:paraId="1B46413F" w14:textId="77777777" w:rsidR="0030208D" w:rsidRPr="00975B07" w:rsidRDefault="00046D2B" w:rsidP="004A6D2F">
            <w:r w:rsidRPr="00975B07">
              <w:t>1.</w:t>
            </w:r>
          </w:p>
        </w:tc>
        <w:tc>
          <w:tcPr>
            <w:tcW w:w="8419" w:type="dxa"/>
            <w:gridSpan w:val="2"/>
            <w:tcBorders>
              <w:top w:val="single" w:sz="8" w:space="0" w:color="000000" w:themeColor="text1"/>
              <w:left w:val="nil"/>
              <w:bottom w:val="nil"/>
              <w:right w:val="single" w:sz="8" w:space="0" w:color="000000" w:themeColor="text1"/>
            </w:tcBorders>
            <w:shd w:val="clear" w:color="auto" w:fill="auto"/>
          </w:tcPr>
          <w:p w14:paraId="1B464140" w14:textId="53F03AAE" w:rsidR="0030208D" w:rsidRPr="002D2FD2" w:rsidRDefault="002D2FD2" w:rsidP="002069B3">
            <w:pPr>
              <w:rPr>
                <w:b/>
                <w:bCs/>
              </w:rPr>
            </w:pPr>
            <w:r w:rsidRPr="15668CAC">
              <w:rPr>
                <w:b/>
                <w:bCs/>
              </w:rPr>
              <w:t xml:space="preserve">APPROVE </w:t>
            </w:r>
            <w:r>
              <w:t xml:space="preserve">the Annual Governance Statement </w:t>
            </w:r>
            <w:r w:rsidR="007300C8">
              <w:t>for 2023/2024</w:t>
            </w:r>
            <w:r w:rsidR="64AEC6D3">
              <w:t>;</w:t>
            </w:r>
            <w:r w:rsidR="0030208D" w:rsidRPr="15668CAC">
              <w:rPr>
                <w:b/>
                <w:bCs/>
              </w:rPr>
              <w:t xml:space="preserve"> </w:t>
            </w:r>
          </w:p>
        </w:tc>
      </w:tr>
      <w:tr w:rsidR="0030208D" w:rsidRPr="00975B07" w14:paraId="1B464144" w14:textId="77777777" w:rsidTr="15668CAC">
        <w:trPr>
          <w:trHeight w:val="283"/>
        </w:trPr>
        <w:tc>
          <w:tcPr>
            <w:tcW w:w="426" w:type="dxa"/>
            <w:tcBorders>
              <w:top w:val="nil"/>
              <w:left w:val="single" w:sz="8" w:space="0" w:color="000000" w:themeColor="text1"/>
              <w:bottom w:val="nil"/>
              <w:right w:val="nil"/>
            </w:tcBorders>
          </w:tcPr>
          <w:p w14:paraId="1B464142" w14:textId="77777777" w:rsidR="0030208D" w:rsidRPr="00975B07" w:rsidRDefault="00046D2B" w:rsidP="004A6D2F">
            <w:r w:rsidRPr="00975B07">
              <w:t>2.</w:t>
            </w:r>
          </w:p>
        </w:tc>
        <w:tc>
          <w:tcPr>
            <w:tcW w:w="8419" w:type="dxa"/>
            <w:gridSpan w:val="2"/>
            <w:tcBorders>
              <w:top w:val="nil"/>
              <w:left w:val="nil"/>
              <w:bottom w:val="nil"/>
              <w:right w:val="single" w:sz="8" w:space="0" w:color="000000" w:themeColor="text1"/>
            </w:tcBorders>
            <w:shd w:val="clear" w:color="auto" w:fill="auto"/>
          </w:tcPr>
          <w:p w14:paraId="1B464143" w14:textId="3F7D11EF" w:rsidR="007300C8" w:rsidRPr="007300C8" w:rsidRDefault="007300C8" w:rsidP="15668CAC">
            <w:pPr>
              <w:rPr>
                <w:b/>
                <w:bCs/>
              </w:rPr>
            </w:pPr>
            <w:r w:rsidRPr="15668CAC">
              <w:rPr>
                <w:rStyle w:val="Firstpagetablebold"/>
              </w:rPr>
              <w:t xml:space="preserve">APPROVE </w:t>
            </w:r>
            <w:r w:rsidRPr="15668CAC">
              <w:rPr>
                <w:rStyle w:val="Firstpagetablebold"/>
                <w:b w:val="0"/>
              </w:rPr>
              <w:t>the new Code of Corporate Governance</w:t>
            </w:r>
            <w:r w:rsidR="79492657" w:rsidRPr="15668CAC">
              <w:rPr>
                <w:rStyle w:val="Firstpagetablebold"/>
                <w:b w:val="0"/>
              </w:rPr>
              <w:t>;</w:t>
            </w:r>
            <w:r w:rsidRPr="15668CAC">
              <w:rPr>
                <w:rStyle w:val="Firstpagetablebold"/>
                <w:b w:val="0"/>
              </w:rPr>
              <w:t xml:space="preserve"> </w:t>
            </w:r>
          </w:p>
        </w:tc>
      </w:tr>
      <w:tr w:rsidR="00232F5B" w:rsidRPr="00975B07" w14:paraId="1B464147" w14:textId="77777777" w:rsidTr="15668CAC">
        <w:trPr>
          <w:trHeight w:val="283"/>
        </w:trPr>
        <w:tc>
          <w:tcPr>
            <w:tcW w:w="426" w:type="dxa"/>
            <w:tcBorders>
              <w:top w:val="nil"/>
              <w:left w:val="single" w:sz="8" w:space="0" w:color="000000" w:themeColor="text1"/>
              <w:bottom w:val="single" w:sz="4" w:space="0" w:color="auto"/>
              <w:right w:val="nil"/>
            </w:tcBorders>
          </w:tcPr>
          <w:p w14:paraId="6142B3C7" w14:textId="77777777" w:rsidR="0030208D" w:rsidRDefault="00046D2B" w:rsidP="004811ED">
            <w:r>
              <w:t>3.</w:t>
            </w:r>
            <w:r w:rsidR="004811ED">
              <w:br/>
            </w:r>
          </w:p>
          <w:p w14:paraId="1B464145" w14:textId="7874A773" w:rsidR="004811ED" w:rsidRPr="00975B07" w:rsidRDefault="004811ED" w:rsidP="004811ED">
            <w:r>
              <w:t>4.</w:t>
            </w:r>
          </w:p>
        </w:tc>
        <w:tc>
          <w:tcPr>
            <w:tcW w:w="8419" w:type="dxa"/>
            <w:gridSpan w:val="2"/>
            <w:tcBorders>
              <w:top w:val="nil"/>
              <w:left w:val="nil"/>
              <w:bottom w:val="single" w:sz="4" w:space="0" w:color="auto"/>
              <w:right w:val="single" w:sz="8" w:space="0" w:color="000000" w:themeColor="text1"/>
            </w:tcBorders>
            <w:shd w:val="clear" w:color="auto" w:fill="auto"/>
          </w:tcPr>
          <w:p w14:paraId="615657BD" w14:textId="77777777" w:rsidR="004811ED" w:rsidRDefault="007300C8" w:rsidP="002069B3">
            <w:r w:rsidRPr="15668CAC">
              <w:rPr>
                <w:b/>
                <w:bCs/>
              </w:rPr>
              <w:t>NOTE</w:t>
            </w:r>
            <w:r>
              <w:t xml:space="preserve"> the action plan appended to the Annual Governance Statement and that progress will reported on </w:t>
            </w:r>
            <w:r w:rsidR="00821E2F">
              <w:t>in 2025</w:t>
            </w:r>
            <w:r w:rsidR="57ABCB3B">
              <w:t>; and</w:t>
            </w:r>
          </w:p>
          <w:p w14:paraId="1B464146" w14:textId="64DBDA66" w:rsidR="0030208D" w:rsidRPr="001356F1" w:rsidRDefault="3625192E" w:rsidP="002069B3">
            <w:r w:rsidRPr="15668CAC">
              <w:rPr>
                <w:b/>
                <w:bCs/>
              </w:rPr>
              <w:t>DELEGATE</w:t>
            </w:r>
            <w:r>
              <w:t xml:space="preserve"> authority to the Head of Law &amp; Governance to make any typographical changes </w:t>
            </w:r>
            <w:r w:rsidR="668BFE53">
              <w:t xml:space="preserve">to the Annual Governance Statement </w:t>
            </w:r>
            <w:r w:rsidR="0D3C64A8">
              <w:t xml:space="preserve">for 2023/24 </w:t>
            </w:r>
            <w:r w:rsidR="668BFE53">
              <w:t>or</w:t>
            </w:r>
            <w:r w:rsidR="01A77713">
              <w:t xml:space="preserve"> the</w:t>
            </w:r>
            <w:r w:rsidR="668BFE53">
              <w:t xml:space="preserve"> Code of Corporate Governance </w:t>
            </w:r>
            <w:r>
              <w:t>that may be required before p</w:t>
            </w:r>
            <w:r w:rsidR="25B39695">
              <w:t>ublication on the Council’s webs</w:t>
            </w:r>
            <w:r w:rsidR="775C7380">
              <w:t>i</w:t>
            </w:r>
            <w:r w:rsidR="25B39695">
              <w:t>te</w:t>
            </w:r>
            <w:r w:rsidR="00821E2F">
              <w:t xml:space="preserve">. </w:t>
            </w:r>
          </w:p>
        </w:tc>
      </w:tr>
    </w:tbl>
    <w:p w14:paraId="1B46414E"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1B464150"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1B46414F" w14:textId="77777777" w:rsidR="00966D42" w:rsidRPr="00975B07" w:rsidRDefault="00966D42" w:rsidP="00263EA3">
            <w:pPr>
              <w:jc w:val="center"/>
            </w:pPr>
            <w:r w:rsidRPr="00745BF0">
              <w:rPr>
                <w:rStyle w:val="Firstpagetablebold"/>
              </w:rPr>
              <w:t>Appendices</w:t>
            </w:r>
          </w:p>
        </w:tc>
      </w:tr>
      <w:tr w:rsidR="00ED5860" w:rsidRPr="00975B07" w14:paraId="1B464153" w14:textId="77777777" w:rsidTr="00A46E98">
        <w:tc>
          <w:tcPr>
            <w:tcW w:w="2438" w:type="dxa"/>
            <w:tcBorders>
              <w:top w:val="single" w:sz="8" w:space="0" w:color="000000"/>
              <w:left w:val="single" w:sz="8" w:space="0" w:color="000000"/>
              <w:bottom w:val="nil"/>
              <w:right w:val="nil"/>
            </w:tcBorders>
            <w:shd w:val="clear" w:color="auto" w:fill="auto"/>
          </w:tcPr>
          <w:p w14:paraId="1B464151"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1B464152" w14:textId="78CD6945" w:rsidR="00ED5860" w:rsidRPr="001356F1" w:rsidRDefault="00821E2F" w:rsidP="004A6D2F">
            <w:r>
              <w:t>Annual Governance Statement 2023/2024</w:t>
            </w:r>
          </w:p>
        </w:tc>
      </w:tr>
      <w:tr w:rsidR="00ED5860" w:rsidRPr="00975B07" w14:paraId="1B464156" w14:textId="77777777" w:rsidTr="00A46E98">
        <w:tc>
          <w:tcPr>
            <w:tcW w:w="2438" w:type="dxa"/>
            <w:tcBorders>
              <w:top w:val="nil"/>
              <w:left w:val="single" w:sz="8" w:space="0" w:color="000000"/>
              <w:bottom w:val="nil"/>
              <w:right w:val="nil"/>
            </w:tcBorders>
            <w:shd w:val="clear" w:color="auto" w:fill="auto"/>
          </w:tcPr>
          <w:p w14:paraId="1B464154"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1B464155" w14:textId="3787BBD8" w:rsidR="00ED5860" w:rsidRPr="001356F1" w:rsidRDefault="00821E2F" w:rsidP="004A6D2F">
            <w:r>
              <w:t xml:space="preserve">Code of Corporate Governance </w:t>
            </w:r>
          </w:p>
        </w:tc>
      </w:tr>
      <w:tr w:rsidR="0030208D" w:rsidRPr="00975B07" w14:paraId="1B464159" w14:textId="77777777" w:rsidTr="00A46E98">
        <w:tc>
          <w:tcPr>
            <w:tcW w:w="2438" w:type="dxa"/>
            <w:tcBorders>
              <w:top w:val="nil"/>
              <w:left w:val="single" w:sz="8" w:space="0" w:color="000000"/>
              <w:bottom w:val="nil"/>
              <w:right w:val="nil"/>
            </w:tcBorders>
            <w:shd w:val="clear" w:color="auto" w:fill="auto"/>
          </w:tcPr>
          <w:p w14:paraId="1B464157" w14:textId="77777777" w:rsidR="0030208D" w:rsidRPr="00975B07" w:rsidRDefault="0030208D" w:rsidP="004A6D2F">
            <w:r w:rsidRPr="00975B07">
              <w:t>Appendix 3</w:t>
            </w:r>
          </w:p>
        </w:tc>
        <w:tc>
          <w:tcPr>
            <w:tcW w:w="6406" w:type="dxa"/>
            <w:tcBorders>
              <w:top w:val="nil"/>
              <w:left w:val="nil"/>
              <w:bottom w:val="nil"/>
              <w:right w:val="single" w:sz="8" w:space="0" w:color="000000"/>
            </w:tcBorders>
          </w:tcPr>
          <w:p w14:paraId="1B464158" w14:textId="045F9664" w:rsidR="0030208D" w:rsidRPr="001356F1" w:rsidRDefault="00766A7D" w:rsidP="004A6D2F">
            <w:hyperlink r:id="rId11" w:history="1">
              <w:r w:rsidR="00D57E29" w:rsidRPr="00766A7D">
                <w:rPr>
                  <w:rStyle w:val="Hyperlink"/>
                </w:rPr>
                <w:t>The LGA’s Councillors Guide: Improvement and Assurance Framework for Local Government</w:t>
              </w:r>
            </w:hyperlink>
            <w:r w:rsidR="00D57E29">
              <w:t xml:space="preserve"> </w:t>
            </w:r>
            <w:r>
              <w:t>[link]</w:t>
            </w:r>
          </w:p>
        </w:tc>
      </w:tr>
      <w:tr w:rsidR="0030208D" w:rsidRPr="00975B07" w14:paraId="1B46415C" w14:textId="77777777" w:rsidTr="00A46E98">
        <w:tc>
          <w:tcPr>
            <w:tcW w:w="2438" w:type="dxa"/>
            <w:tcBorders>
              <w:top w:val="nil"/>
              <w:left w:val="single" w:sz="8" w:space="0" w:color="000000"/>
              <w:bottom w:val="single" w:sz="8" w:space="0" w:color="000000"/>
              <w:right w:val="nil"/>
            </w:tcBorders>
            <w:shd w:val="clear" w:color="auto" w:fill="auto"/>
          </w:tcPr>
          <w:p w14:paraId="1B46415A" w14:textId="77777777" w:rsidR="0030208D" w:rsidRPr="00975B07" w:rsidRDefault="0030208D" w:rsidP="004A6D2F">
            <w:r w:rsidRPr="00975B07">
              <w:t>Appendix 4</w:t>
            </w:r>
          </w:p>
        </w:tc>
        <w:tc>
          <w:tcPr>
            <w:tcW w:w="6406" w:type="dxa"/>
            <w:tcBorders>
              <w:top w:val="nil"/>
              <w:left w:val="nil"/>
              <w:bottom w:val="single" w:sz="8" w:space="0" w:color="000000"/>
              <w:right w:val="single" w:sz="8" w:space="0" w:color="000000"/>
            </w:tcBorders>
          </w:tcPr>
          <w:p w14:paraId="1B46415B" w14:textId="08B1F919" w:rsidR="0030208D" w:rsidRPr="001356F1" w:rsidRDefault="00766A7D" w:rsidP="004A6D2F">
            <w:hyperlink r:id="rId12" w:history="1">
              <w:r w:rsidR="00D57E29" w:rsidRPr="00766A7D">
                <w:rPr>
                  <w:rStyle w:val="Hyperlink"/>
                </w:rPr>
                <w:t xml:space="preserve">The LGA’s </w:t>
              </w:r>
              <w:r w:rsidR="0029012B" w:rsidRPr="00766A7D">
                <w:rPr>
                  <w:rStyle w:val="Hyperlink"/>
                </w:rPr>
                <w:t>Improvement and Assurance Framework</w:t>
              </w:r>
            </w:hyperlink>
            <w:r w:rsidR="0029012B">
              <w:t xml:space="preserve"> </w:t>
            </w:r>
            <w:r>
              <w:t>[link]</w:t>
            </w:r>
          </w:p>
        </w:tc>
      </w:tr>
    </w:tbl>
    <w:p w14:paraId="1B46415D"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5B8F7384" w14:textId="24788E08" w:rsidR="00B308E9" w:rsidRDefault="008B15BB" w:rsidP="005570B5">
      <w:pPr>
        <w:pStyle w:val="ListParagraph"/>
      </w:pPr>
      <w:r>
        <w:t xml:space="preserve">Each year the Council must produce a statement </w:t>
      </w:r>
      <w:r w:rsidR="00A515C1">
        <w:t xml:space="preserve">evaluating its governance and effectiveness. This is done considering the year against the Code of Corporate Governance. </w:t>
      </w:r>
    </w:p>
    <w:p w14:paraId="1747B091" w14:textId="7486CE4D" w:rsidR="00A515C1" w:rsidRDefault="00A515C1" w:rsidP="005570B5">
      <w:pPr>
        <w:pStyle w:val="ListParagraph"/>
      </w:pPr>
      <w:r>
        <w:t xml:space="preserve">The Council’s Code of Corporate Governance has also not been reviewed for some time and therefore a review has been undertaken. </w:t>
      </w:r>
    </w:p>
    <w:p w14:paraId="54ECC0F1" w14:textId="4241F744" w:rsidR="005F5B56" w:rsidRPr="00A35FC3" w:rsidRDefault="00A515C1" w:rsidP="005F5B56">
      <w:pPr>
        <w:pStyle w:val="ListParagraph"/>
        <w:rPr>
          <w:rStyle w:val="ListParagraphChar"/>
        </w:rPr>
      </w:pPr>
      <w:r>
        <w:t xml:space="preserve">There is a stronger focus on the governance of Local Authorities following on from high profile failings which have been underpinned by poor governance </w:t>
      </w:r>
      <w:r>
        <w:lastRenderedPageBreak/>
        <w:t>arrangements and practices elsewhere in the Country. This has resulted in the LG</w:t>
      </w:r>
      <w:r w:rsidR="00E1291D">
        <w:t>A</w:t>
      </w:r>
      <w:r>
        <w:t xml:space="preserve"> producing a new Assurance Framework, and associated guidance (see appendices 3 and 4). </w:t>
      </w:r>
    </w:p>
    <w:p w14:paraId="621EE76D" w14:textId="77777777" w:rsidR="00A35FC3" w:rsidRDefault="00A35FC3" w:rsidP="005F5B56">
      <w:pPr>
        <w:rPr>
          <w:rStyle w:val="ListParagraphChar"/>
          <w:b/>
          <w:bCs/>
        </w:rPr>
      </w:pPr>
    </w:p>
    <w:p w14:paraId="68249279" w14:textId="61FDD69B" w:rsidR="005F5B56" w:rsidRPr="005F5B56" w:rsidRDefault="005F5B56" w:rsidP="005F5B56">
      <w:pPr>
        <w:rPr>
          <w:b/>
          <w:bCs/>
        </w:rPr>
      </w:pPr>
      <w:r w:rsidRPr="005F5B56">
        <w:rPr>
          <w:rStyle w:val="ListParagraphChar"/>
          <w:b/>
          <w:bCs/>
        </w:rPr>
        <w:t xml:space="preserve">Code of Corporate Governance </w:t>
      </w:r>
      <w:r w:rsidR="00177052">
        <w:rPr>
          <w:rStyle w:val="ListParagraphChar"/>
          <w:b/>
          <w:bCs/>
        </w:rPr>
        <w:t>Refresh</w:t>
      </w:r>
    </w:p>
    <w:p w14:paraId="2CBAA169" w14:textId="5051A2C0" w:rsidR="00B84CB4" w:rsidRPr="00795754" w:rsidRDefault="00B84CB4" w:rsidP="00E1291D">
      <w:pPr>
        <w:pStyle w:val="ListParagraph"/>
        <w:rPr>
          <w:rStyle w:val="normaltextrun"/>
          <w:b/>
          <w:bCs/>
          <w:u w:val="single"/>
        </w:rPr>
      </w:pPr>
      <w:r w:rsidRPr="005D6CC2">
        <w:t xml:space="preserve">The </w:t>
      </w:r>
      <w:r w:rsidR="60159AA4" w:rsidRPr="005D6CC2">
        <w:t xml:space="preserve">Council’s </w:t>
      </w:r>
      <w:r w:rsidRPr="005D6CC2">
        <w:t xml:space="preserve">current Code of Corporate Governance </w:t>
      </w:r>
      <w:r w:rsidR="1E290566" w:rsidRPr="005D6CC2">
        <w:t xml:space="preserve">(“the Code”) </w:t>
      </w:r>
      <w:r w:rsidRPr="005D6CC2">
        <w:t xml:space="preserve">was not based around the principles defined by CIPFA and SOLACE in the </w:t>
      </w:r>
      <w:r w:rsidR="005D6CC2" w:rsidRPr="005D6CC2">
        <w:rPr>
          <w:rStyle w:val="normaltextrun"/>
          <w:rFonts w:cs="Arial"/>
          <w:bdr w:val="none" w:sz="0" w:space="0" w:color="auto" w:frame="1"/>
        </w:rPr>
        <w:t>“Delivering Good Governance Local Government Framework”</w:t>
      </w:r>
      <w:r w:rsidR="00795754">
        <w:rPr>
          <w:rStyle w:val="normaltextrun"/>
          <w:rFonts w:cs="Arial"/>
          <w:bdr w:val="none" w:sz="0" w:space="0" w:color="auto" w:frame="1"/>
        </w:rPr>
        <w:t xml:space="preserve">. As such the refresh has been based on bringing it in line with the best practice </w:t>
      </w:r>
      <w:r w:rsidR="4506D3FA">
        <w:rPr>
          <w:rStyle w:val="normaltextrun"/>
          <w:rFonts w:cs="Arial"/>
          <w:bdr w:val="none" w:sz="0" w:space="0" w:color="auto" w:frame="1"/>
        </w:rPr>
        <w:t>for</w:t>
      </w:r>
      <w:r w:rsidR="00795754">
        <w:rPr>
          <w:rStyle w:val="normaltextrun"/>
          <w:rFonts w:cs="Arial"/>
          <w:bdr w:val="none" w:sz="0" w:space="0" w:color="auto" w:frame="1"/>
        </w:rPr>
        <w:t xml:space="preserve"> codes aligning with the principles. </w:t>
      </w:r>
    </w:p>
    <w:p w14:paraId="304869E4" w14:textId="38C694EF" w:rsidR="00795754" w:rsidRPr="005D6CC2" w:rsidRDefault="00795754" w:rsidP="00E1291D">
      <w:pPr>
        <w:pStyle w:val="ListParagraph"/>
        <w:rPr>
          <w:b/>
          <w:bCs/>
          <w:u w:val="single"/>
        </w:rPr>
      </w:pPr>
      <w:r>
        <w:rPr>
          <w:rStyle w:val="normaltextrun"/>
          <w:rFonts w:cs="Arial"/>
          <w:bdr w:val="none" w:sz="0" w:space="0" w:color="auto" w:frame="1"/>
        </w:rPr>
        <w:t xml:space="preserve">The refreshed Code has been designed around the principles and also sets out the key policies, procedures and </w:t>
      </w:r>
      <w:r w:rsidR="00025D90">
        <w:rPr>
          <w:rStyle w:val="normaltextrun"/>
          <w:rFonts w:cs="Arial"/>
          <w:bdr w:val="none" w:sz="0" w:space="0" w:color="auto" w:frame="1"/>
        </w:rPr>
        <w:t xml:space="preserve">bodies that form part of the system of ensuring the Council has strong, robust and effective governance arrangements. </w:t>
      </w:r>
    </w:p>
    <w:p w14:paraId="31BDAAB9" w14:textId="66DD8354" w:rsidR="00E1291D" w:rsidRPr="00E1291D" w:rsidRDefault="00D47442" w:rsidP="00E1291D">
      <w:pPr>
        <w:pStyle w:val="ListParagraph"/>
        <w:rPr>
          <w:b/>
          <w:bCs/>
          <w:u w:val="single"/>
        </w:rPr>
      </w:pPr>
      <w:r>
        <w:t xml:space="preserve">The Council governance is set out in many documents (policies, procedures, protocols, the constitution, schemes of delegation etc). </w:t>
      </w:r>
      <w:r w:rsidR="00445E48">
        <w:t xml:space="preserve">The </w:t>
      </w:r>
      <w:r w:rsidR="4CDB788B">
        <w:t>C</w:t>
      </w:r>
      <w:r w:rsidR="00445E48">
        <w:t xml:space="preserve">ode of Governance pulls them together and explains what the Council will do </w:t>
      </w:r>
      <w:r w:rsidR="00025D90">
        <w:t>to</w:t>
      </w:r>
      <w:r w:rsidR="00445E48">
        <w:t xml:space="preserve"> ens</w:t>
      </w:r>
      <w:r w:rsidR="004954C5">
        <w:t>ure good governance is practiced through</w:t>
      </w:r>
      <w:r w:rsidR="5BD23A50">
        <w:t>out</w:t>
      </w:r>
      <w:r w:rsidR="004954C5">
        <w:t xml:space="preserve"> the Council and in all it does. </w:t>
      </w:r>
    </w:p>
    <w:p w14:paraId="40C0783A" w14:textId="3E8A09C6" w:rsidR="00D47442" w:rsidRPr="00E1291D" w:rsidRDefault="00E1291D" w:rsidP="00E1291D">
      <w:pPr>
        <w:pStyle w:val="ListParagraph"/>
        <w:rPr>
          <w:b/>
          <w:bCs/>
          <w:u w:val="single"/>
        </w:rPr>
      </w:pPr>
      <w:r>
        <w:t>Governance is defined by CIPFA and SOLACE as ‘the arrangements put in place to ensure that the intended outcomes for stakeholders are defined and achieved’. Good governance helps deliver the outcomes desired by an organisation.</w:t>
      </w:r>
    </w:p>
    <w:p w14:paraId="016CA84F" w14:textId="11992743" w:rsidR="00E1291D" w:rsidRPr="00E1291D" w:rsidRDefault="00F242CC" w:rsidP="00D47442">
      <w:pPr>
        <w:pStyle w:val="ListParagraph"/>
        <w:rPr>
          <w:b/>
          <w:bCs/>
          <w:u w:val="single"/>
        </w:rPr>
      </w:pPr>
      <w:r>
        <w:t>The refre</w:t>
      </w:r>
      <w:r w:rsidR="002F082F">
        <w:t xml:space="preserve">shed </w:t>
      </w:r>
      <w:r>
        <w:t xml:space="preserve">Code of </w:t>
      </w:r>
      <w:r w:rsidR="002F082F">
        <w:t>Corporate</w:t>
      </w:r>
      <w:r>
        <w:t xml:space="preserve"> </w:t>
      </w:r>
      <w:r w:rsidR="3DB93D0F">
        <w:t xml:space="preserve">Governance </w:t>
      </w:r>
      <w:r>
        <w:t xml:space="preserve">is in line with good practice guidance, including the principles that underpin it. </w:t>
      </w:r>
    </w:p>
    <w:p w14:paraId="6611DF94" w14:textId="77777777" w:rsidR="00E1291D" w:rsidRPr="00E1291D" w:rsidRDefault="00F242CC" w:rsidP="00D47442">
      <w:pPr>
        <w:pStyle w:val="ListParagraph"/>
        <w:rPr>
          <w:b/>
          <w:bCs/>
          <w:u w:val="single"/>
        </w:rPr>
      </w:pPr>
      <w:r>
        <w:t xml:space="preserve">It </w:t>
      </w:r>
      <w:r w:rsidR="00E1291D">
        <w:t xml:space="preserve">will, subject to approval, form </w:t>
      </w:r>
      <w:r>
        <w:t>part of the Council’s control environment assurance arrangements</w:t>
      </w:r>
      <w:r w:rsidR="002F082F">
        <w:t>.</w:t>
      </w:r>
      <w:r w:rsidR="00034933">
        <w:t xml:space="preserve"> </w:t>
      </w:r>
    </w:p>
    <w:p w14:paraId="7C2415BE" w14:textId="5B0416B7" w:rsidR="00D47442" w:rsidRPr="00482793" w:rsidRDefault="00E1291D" w:rsidP="00482793">
      <w:pPr>
        <w:pStyle w:val="ListParagraph"/>
        <w:rPr>
          <w:b/>
          <w:bCs/>
          <w:u w:val="single"/>
        </w:rPr>
      </w:pPr>
      <w:r>
        <w:t xml:space="preserve">The </w:t>
      </w:r>
      <w:r w:rsidR="72CC7E0D">
        <w:t>revised</w:t>
      </w:r>
      <w:r>
        <w:t xml:space="preserve"> Code </w:t>
      </w:r>
      <w:r w:rsidR="00034933">
        <w:t xml:space="preserve">brings together an underlying set of values, legislative requirements, governance principles and management processes that enable effective outcomes, setting the </w:t>
      </w:r>
      <w:r w:rsidR="00A35FC3">
        <w:t>framework</w:t>
      </w:r>
      <w:r w:rsidR="00034933">
        <w:t xml:space="preserve"> for the Council </w:t>
      </w:r>
      <w:r w:rsidR="00A35FC3">
        <w:t>to ensure that it operates in accordance with the law and proper standards, and that public money is safeguarded, properly accounted for and used economically, efficiently and effectively.</w:t>
      </w:r>
    </w:p>
    <w:p w14:paraId="3AF38531" w14:textId="377D330E" w:rsidR="00482793" w:rsidRPr="003E3194" w:rsidRDefault="00482793" w:rsidP="00482793">
      <w:pPr>
        <w:pStyle w:val="ListParagraph"/>
        <w:rPr>
          <w:b/>
          <w:bCs/>
          <w:u w:val="single"/>
        </w:rPr>
      </w:pPr>
      <w:r>
        <w:t xml:space="preserve">The Leader of the Council and Chief Executive are accountable for ensuring good governance in their </w:t>
      </w:r>
      <w:r w:rsidR="003E3194">
        <w:t>authority and</w:t>
      </w:r>
      <w:r>
        <w:t xml:space="preserve"> sign the Annual Governance Statement on behalf of the Council.</w:t>
      </w:r>
    </w:p>
    <w:p w14:paraId="35D17B83" w14:textId="5456A6E5" w:rsidR="003E3194" w:rsidRPr="005B3BA1" w:rsidRDefault="003E3194" w:rsidP="00482793">
      <w:pPr>
        <w:pStyle w:val="ListParagraph"/>
        <w:rPr>
          <w:b/>
          <w:bCs/>
          <w:u w:val="single"/>
        </w:rPr>
      </w:pPr>
      <w:r>
        <w:t>All services are responsible for maintaining proportionate but sound operational procedures and processes that adequately mitigate risks that may result in a service failure or the failure to deliver service objectives. Application of the framework outlined should put the Council in a strong position to successfully deliver whatever services it chooses to.</w:t>
      </w:r>
    </w:p>
    <w:p w14:paraId="2A4581FA" w14:textId="77777777" w:rsidR="005B3BA1" w:rsidRPr="00482793" w:rsidRDefault="005B3BA1" w:rsidP="005B3BA1">
      <w:pPr>
        <w:pStyle w:val="ListParagraph"/>
        <w:numPr>
          <w:ilvl w:val="0"/>
          <w:numId w:val="0"/>
        </w:numPr>
        <w:ind w:left="426"/>
        <w:rPr>
          <w:b/>
          <w:bCs/>
          <w:u w:val="single"/>
        </w:rPr>
      </w:pPr>
    </w:p>
    <w:p w14:paraId="1B46415F" w14:textId="066002C4" w:rsidR="00633578" w:rsidRPr="001356F1" w:rsidRDefault="00B308E9" w:rsidP="00E87F7A">
      <w:pPr>
        <w:pStyle w:val="Heading1"/>
      </w:pPr>
      <w:r>
        <w:t xml:space="preserve">Annual Governance Statement </w:t>
      </w:r>
      <w:r w:rsidR="00177052">
        <w:t>Refresh</w:t>
      </w:r>
    </w:p>
    <w:p w14:paraId="56D05DF4" w14:textId="77777777" w:rsidR="00B308E9" w:rsidRPr="008B15BB" w:rsidRDefault="00B308E9" w:rsidP="00B308E9">
      <w:pPr>
        <w:pStyle w:val="ListParagraph"/>
        <w:rPr>
          <w:color w:val="auto"/>
        </w:rPr>
      </w:pPr>
      <w:r w:rsidRPr="008B15BB">
        <w:rPr>
          <w:color w:val="auto"/>
        </w:rPr>
        <w:t xml:space="preserve">The Annual Governance Statement (“the AGS”) is a statutory requirement (Accounts and Audit Regulations 2015) for local authorities. </w:t>
      </w:r>
    </w:p>
    <w:p w14:paraId="12B144DE" w14:textId="77777777" w:rsidR="00B308E9" w:rsidRPr="008B15BB" w:rsidRDefault="00B308E9" w:rsidP="00B308E9">
      <w:pPr>
        <w:pStyle w:val="ListParagraph"/>
        <w:rPr>
          <w:color w:val="auto"/>
        </w:rPr>
      </w:pPr>
      <w:r w:rsidRPr="008B15BB">
        <w:rPr>
          <w:rFonts w:cs="Arial"/>
          <w:color w:val="auto"/>
          <w:shd w:val="clear" w:color="auto" w:fill="FFFFFF"/>
        </w:rPr>
        <w:t>As an annual report it is published with the Council’s financial statements and its purpose is to describe the effectiveness of the council’s overall governance arrangements. It should also provide an action plan to improve them.</w:t>
      </w:r>
    </w:p>
    <w:p w14:paraId="35ABA95A" w14:textId="6DD2B6CB" w:rsidR="00B308E9" w:rsidRPr="008B15BB" w:rsidRDefault="006B445C" w:rsidP="00B308E9">
      <w:pPr>
        <w:pStyle w:val="ListParagraph"/>
        <w:rPr>
          <w:color w:val="auto"/>
        </w:rPr>
      </w:pPr>
      <w:r>
        <w:rPr>
          <w:shd w:val="clear" w:color="auto" w:fill="FFFFFF"/>
        </w:rPr>
        <w:lastRenderedPageBreak/>
        <w:t>T</w:t>
      </w:r>
      <w:r w:rsidRPr="00283329">
        <w:rPr>
          <w:shd w:val="clear" w:color="auto" w:fill="FFFFFF"/>
        </w:rPr>
        <w:t xml:space="preserve">he AGS needs to consider whether there is sufficient evidence to show that </w:t>
      </w:r>
      <w:r>
        <w:rPr>
          <w:shd w:val="clear" w:color="auto" w:fill="FFFFFF"/>
        </w:rPr>
        <w:t xml:space="preserve">the Corporate Code of Governance </w:t>
      </w:r>
      <w:r w:rsidRPr="00283329">
        <w:rPr>
          <w:shd w:val="clear" w:color="auto" w:fill="FFFFFF"/>
        </w:rPr>
        <w:t xml:space="preserve">is appropriately and consistently implemented. Where </w:t>
      </w:r>
      <w:r>
        <w:rPr>
          <w:shd w:val="clear" w:color="auto" w:fill="FFFFFF"/>
        </w:rPr>
        <w:t>it</w:t>
      </w:r>
      <w:r w:rsidRPr="00283329">
        <w:rPr>
          <w:shd w:val="clear" w:color="auto" w:fill="FFFFFF"/>
        </w:rPr>
        <w:t xml:space="preserve"> is not, the AGS needs to propose actions to address this in the coming year. </w:t>
      </w:r>
      <w:r w:rsidR="00B308E9" w:rsidRPr="008B15BB">
        <w:rPr>
          <w:rFonts w:cs="Arial"/>
          <w:color w:val="auto"/>
          <w:shd w:val="clear" w:color="auto" w:fill="FFFFFF"/>
        </w:rPr>
        <w:t xml:space="preserve">Improvements are not a suggestion that the Council is doing things incorrectly but a signal of good </w:t>
      </w:r>
      <w:r w:rsidR="008B15BB" w:rsidRPr="008B15BB">
        <w:rPr>
          <w:rFonts w:cs="Arial"/>
          <w:color w:val="auto"/>
          <w:shd w:val="clear" w:color="auto" w:fill="FFFFFF"/>
        </w:rPr>
        <w:t>self-reflection</w:t>
      </w:r>
      <w:r w:rsidR="00B308E9" w:rsidRPr="008B15BB">
        <w:rPr>
          <w:rFonts w:cs="Arial"/>
          <w:color w:val="auto"/>
          <w:shd w:val="clear" w:color="auto" w:fill="FFFFFF"/>
        </w:rPr>
        <w:t xml:space="preserve"> and challenge, to strive to do better in its governance and assurance. </w:t>
      </w:r>
    </w:p>
    <w:p w14:paraId="158CBE16" w14:textId="7FADEC32" w:rsidR="00B308E9" w:rsidRPr="00921B1E" w:rsidRDefault="00B308E9" w:rsidP="00B308E9">
      <w:pPr>
        <w:pStyle w:val="ListParagraph"/>
        <w:rPr>
          <w:color w:val="auto"/>
        </w:rPr>
      </w:pPr>
      <w:r w:rsidRPr="008B15BB">
        <w:rPr>
          <w:rFonts w:cs="Arial"/>
          <w:color w:val="auto"/>
          <w:shd w:val="clear" w:color="auto" w:fill="FFFFFF"/>
        </w:rPr>
        <w:t xml:space="preserve">It is a corporate document. Though </w:t>
      </w:r>
      <w:r w:rsidR="008B15BB" w:rsidRPr="008B15BB">
        <w:rPr>
          <w:rFonts w:cs="Arial"/>
          <w:color w:val="auto"/>
          <w:shd w:val="clear" w:color="auto" w:fill="FFFFFF"/>
        </w:rPr>
        <w:t>typically</w:t>
      </w:r>
      <w:r w:rsidRPr="008B15BB">
        <w:rPr>
          <w:rFonts w:cs="Arial"/>
          <w:color w:val="auto"/>
          <w:shd w:val="clear" w:color="auto" w:fill="FFFFFF"/>
        </w:rPr>
        <w:t xml:space="preserve"> produced by the Monitoring Officer it </w:t>
      </w:r>
      <w:r w:rsidR="008B15BB" w:rsidRPr="008B15BB">
        <w:rPr>
          <w:rFonts w:cs="Arial"/>
          <w:color w:val="auto"/>
          <w:shd w:val="clear" w:color="auto" w:fill="FFFFFF"/>
        </w:rPr>
        <w:t>reflects</w:t>
      </w:r>
      <w:r w:rsidRPr="008B15BB">
        <w:rPr>
          <w:rFonts w:cs="Arial"/>
          <w:color w:val="auto"/>
          <w:shd w:val="clear" w:color="auto" w:fill="FFFFFF"/>
        </w:rPr>
        <w:t xml:space="preserve"> the corporate approach to governance by all departments </w:t>
      </w:r>
      <w:r w:rsidR="00025D90" w:rsidRPr="008B15BB">
        <w:rPr>
          <w:rFonts w:cs="Arial"/>
          <w:color w:val="auto"/>
          <w:shd w:val="clear" w:color="auto" w:fill="FFFFFF"/>
        </w:rPr>
        <w:t>considering</w:t>
      </w:r>
      <w:r w:rsidRPr="008B15BB">
        <w:rPr>
          <w:rFonts w:cs="Arial"/>
          <w:color w:val="auto"/>
          <w:shd w:val="clear" w:color="auto" w:fill="FFFFFF"/>
        </w:rPr>
        <w:t xml:space="preserve"> the Code of Corporate </w:t>
      </w:r>
      <w:r w:rsidR="008B15BB" w:rsidRPr="008B15BB">
        <w:rPr>
          <w:rFonts w:cs="Arial"/>
          <w:color w:val="auto"/>
          <w:shd w:val="clear" w:color="auto" w:fill="FFFFFF"/>
        </w:rPr>
        <w:t>Governance</w:t>
      </w:r>
      <w:r w:rsidRPr="008B15BB">
        <w:rPr>
          <w:rFonts w:cs="Arial"/>
          <w:color w:val="auto"/>
          <w:shd w:val="clear" w:color="auto" w:fill="FFFFFF"/>
        </w:rPr>
        <w:t xml:space="preserve">. </w:t>
      </w:r>
    </w:p>
    <w:p w14:paraId="223BC2C4" w14:textId="31CF82B5" w:rsidR="00921B1E" w:rsidRPr="00D63030" w:rsidRDefault="00921B1E" w:rsidP="00B308E9">
      <w:pPr>
        <w:pStyle w:val="ListParagraph"/>
        <w:rPr>
          <w:color w:val="auto"/>
        </w:rPr>
      </w:pPr>
      <w:r>
        <w:rPr>
          <w:rFonts w:cs="Arial"/>
          <w:color w:val="auto"/>
          <w:shd w:val="clear" w:color="auto" w:fill="FFFFFF"/>
        </w:rPr>
        <w:t xml:space="preserve">In the LGA Assurance Framework at Appendix 3 the roles of the Organisation around good governance and the AGS sets out the following as best practice: </w:t>
      </w:r>
    </w:p>
    <w:p w14:paraId="17EF76F6" w14:textId="2ED7DA1B" w:rsidR="00D63030" w:rsidRDefault="00D63030" w:rsidP="005F5B56">
      <w:pPr>
        <w:numPr>
          <w:ilvl w:val="0"/>
          <w:numId w:val="34"/>
        </w:numPr>
        <w:shd w:val="clear" w:color="auto" w:fill="FFFFFF"/>
        <w:spacing w:after="0" w:line="276" w:lineRule="auto"/>
        <w:ind w:left="1134" w:hanging="425"/>
      </w:pPr>
      <w:r w:rsidRPr="005E64FC">
        <w:rPr>
          <w:b/>
          <w:bCs/>
          <w:shd w:val="clear" w:color="auto" w:fill="FFFFFF"/>
        </w:rPr>
        <w:t>O</w:t>
      </w:r>
      <w:r w:rsidRPr="00522EAB">
        <w:rPr>
          <w:b/>
          <w:bCs/>
          <w:shd w:val="clear" w:color="auto" w:fill="FFFFFF"/>
        </w:rPr>
        <w:t>perational directors</w:t>
      </w:r>
      <w:r w:rsidRPr="00522EAB">
        <w:rPr>
          <w:shd w:val="clear" w:color="auto" w:fill="FFFFFF"/>
        </w:rPr>
        <w:t xml:space="preserve"> ensure that</w:t>
      </w:r>
      <w:r w:rsidRPr="005E64FC">
        <w:t xml:space="preserve"> </w:t>
      </w:r>
      <w:r w:rsidRPr="00522EAB">
        <w:t>directorate assurance statements to inform the annual governance statement are comprehensive and accurate, informed by an assessment of compliance with all relevant policies and procedures</w:t>
      </w:r>
      <w:r w:rsidR="00B42C64">
        <w:t>.</w:t>
      </w:r>
    </w:p>
    <w:p w14:paraId="58B37B94" w14:textId="77777777" w:rsidR="00D63030" w:rsidRPr="005E64FC" w:rsidRDefault="00D63030" w:rsidP="005F5B56">
      <w:pPr>
        <w:shd w:val="clear" w:color="auto" w:fill="FFFFFF"/>
        <w:spacing w:line="276" w:lineRule="auto"/>
        <w:ind w:left="1134" w:hanging="425"/>
      </w:pPr>
    </w:p>
    <w:p w14:paraId="7898D027" w14:textId="3B1DB1F2" w:rsidR="00D63030" w:rsidRPr="00DB6379" w:rsidRDefault="00D63030" w:rsidP="239DBF85">
      <w:pPr>
        <w:numPr>
          <w:ilvl w:val="0"/>
          <w:numId w:val="34"/>
        </w:numPr>
        <w:shd w:val="clear" w:color="auto" w:fill="FFFFFF" w:themeFill="background1"/>
        <w:spacing w:after="0" w:line="276" w:lineRule="auto"/>
        <w:ind w:left="1134" w:hanging="425"/>
      </w:pPr>
      <w:r w:rsidRPr="005E64FC">
        <w:rPr>
          <w:b/>
          <w:bCs/>
          <w:shd w:val="clear" w:color="auto" w:fill="FFFFFF"/>
        </w:rPr>
        <w:t>The strategic management team</w:t>
      </w:r>
      <w:r w:rsidRPr="005E64FC">
        <w:rPr>
          <w:shd w:val="clear" w:color="auto" w:fill="FFFFFF"/>
        </w:rPr>
        <w:t xml:space="preserve"> effectively oversees operational and strategic delivery, including contributing to the review of the effectiveness of the authority’s governance arrangements to inform the </w:t>
      </w:r>
      <w:r w:rsidR="2C06976B" w:rsidRPr="005E64FC">
        <w:rPr>
          <w:shd w:val="clear" w:color="auto" w:fill="FFFFFF"/>
        </w:rPr>
        <w:t>A</w:t>
      </w:r>
      <w:r w:rsidRPr="005E64FC">
        <w:rPr>
          <w:shd w:val="clear" w:color="auto" w:fill="FFFFFF"/>
        </w:rPr>
        <w:t xml:space="preserve">nnual </w:t>
      </w:r>
      <w:r w:rsidR="6F679781" w:rsidRPr="005E64FC">
        <w:rPr>
          <w:shd w:val="clear" w:color="auto" w:fill="FFFFFF"/>
        </w:rPr>
        <w:t>G</w:t>
      </w:r>
      <w:r w:rsidRPr="005E64FC">
        <w:rPr>
          <w:shd w:val="clear" w:color="auto" w:fill="FFFFFF"/>
        </w:rPr>
        <w:t xml:space="preserve">overnance </w:t>
      </w:r>
      <w:r w:rsidR="4C0278ED" w:rsidRPr="005E64FC">
        <w:rPr>
          <w:shd w:val="clear" w:color="auto" w:fill="FFFFFF"/>
        </w:rPr>
        <w:t>S</w:t>
      </w:r>
      <w:r w:rsidRPr="005E64FC">
        <w:rPr>
          <w:shd w:val="clear" w:color="auto" w:fill="FFFFFF"/>
        </w:rPr>
        <w:t>tatement</w:t>
      </w:r>
      <w:r w:rsidR="00B42C64">
        <w:rPr>
          <w:shd w:val="clear" w:color="auto" w:fill="FFFFFF"/>
        </w:rPr>
        <w:t>.</w:t>
      </w:r>
    </w:p>
    <w:p w14:paraId="19765DE2" w14:textId="77777777" w:rsidR="00D63030" w:rsidRPr="00522EAB" w:rsidRDefault="00D63030" w:rsidP="005F5B56">
      <w:pPr>
        <w:shd w:val="clear" w:color="auto" w:fill="FFFFFF"/>
        <w:spacing w:line="276" w:lineRule="auto"/>
        <w:ind w:left="1134" w:hanging="425"/>
      </w:pPr>
    </w:p>
    <w:p w14:paraId="78294EB0" w14:textId="77777777" w:rsidR="005B3BA1" w:rsidRDefault="00D63030" w:rsidP="005B3BA1">
      <w:pPr>
        <w:numPr>
          <w:ilvl w:val="0"/>
          <w:numId w:val="34"/>
        </w:numPr>
        <w:shd w:val="clear" w:color="auto" w:fill="FFFFFF" w:themeFill="background1"/>
        <w:spacing w:after="0" w:line="276" w:lineRule="auto"/>
        <w:ind w:left="1134" w:hanging="425"/>
      </w:pPr>
      <w:r w:rsidRPr="005E64FC">
        <w:rPr>
          <w:b/>
          <w:bCs/>
        </w:rPr>
        <w:t>The H</w:t>
      </w:r>
      <w:r w:rsidR="00921B1E">
        <w:rPr>
          <w:b/>
          <w:bCs/>
        </w:rPr>
        <w:t xml:space="preserve">ead of Paid Service (Chief Executive) </w:t>
      </w:r>
      <w:r w:rsidRPr="005E64FC">
        <w:t xml:space="preserve">ensures that an appropriate person leads the review of the effectiveness of the authority’s governance arrangements to inform the </w:t>
      </w:r>
      <w:r w:rsidR="00AEF1BD">
        <w:t>A</w:t>
      </w:r>
      <w:r>
        <w:t xml:space="preserve">nnual </w:t>
      </w:r>
      <w:r w:rsidR="2D4870D8">
        <w:t>G</w:t>
      </w:r>
      <w:r>
        <w:t xml:space="preserve">overnance </w:t>
      </w:r>
      <w:r w:rsidR="327808EF">
        <w:t>S</w:t>
      </w:r>
      <w:r w:rsidRPr="005E64FC">
        <w:t>tatement</w:t>
      </w:r>
      <w:r w:rsidR="00B42C64">
        <w:t>.</w:t>
      </w:r>
    </w:p>
    <w:p w14:paraId="63BCB1CB" w14:textId="77777777" w:rsidR="005B3BA1" w:rsidRDefault="005B3BA1" w:rsidP="005B3BA1">
      <w:pPr>
        <w:pStyle w:val="ListParagraph"/>
        <w:numPr>
          <w:ilvl w:val="0"/>
          <w:numId w:val="0"/>
        </w:numPr>
        <w:ind w:left="426"/>
        <w:rPr>
          <w:b/>
          <w:bCs/>
          <w:shd w:val="clear" w:color="auto" w:fill="FFFFFF"/>
        </w:rPr>
      </w:pPr>
    </w:p>
    <w:p w14:paraId="71DF0B1B" w14:textId="6CE7154E" w:rsidR="00D63030" w:rsidRPr="005B3BA1" w:rsidRDefault="00D63030" w:rsidP="005B3BA1">
      <w:pPr>
        <w:numPr>
          <w:ilvl w:val="0"/>
          <w:numId w:val="34"/>
        </w:numPr>
        <w:shd w:val="clear" w:color="auto" w:fill="FFFFFF" w:themeFill="background1"/>
        <w:spacing w:after="0" w:line="276" w:lineRule="auto"/>
        <w:ind w:left="1134" w:hanging="425"/>
      </w:pPr>
      <w:r w:rsidRPr="005B3BA1">
        <w:rPr>
          <w:b/>
          <w:bCs/>
          <w:shd w:val="clear" w:color="auto" w:fill="FFFFFF"/>
        </w:rPr>
        <w:t>Audit and Governance</w:t>
      </w:r>
      <w:r w:rsidRPr="005B3BA1">
        <w:rPr>
          <w:shd w:val="clear" w:color="auto" w:fill="FFFFFF"/>
        </w:rPr>
        <w:t xml:space="preserve"> </w:t>
      </w:r>
      <w:r w:rsidR="29B68B0B" w:rsidRPr="005B3BA1">
        <w:rPr>
          <w:b/>
          <w:bCs/>
          <w:shd w:val="clear" w:color="auto" w:fill="FFFFFF"/>
        </w:rPr>
        <w:t>Committee</w:t>
      </w:r>
      <w:r w:rsidR="29B68B0B" w:rsidRPr="005B3BA1">
        <w:rPr>
          <w:shd w:val="clear" w:color="auto" w:fill="FFFFFF"/>
        </w:rPr>
        <w:t xml:space="preserve"> </w:t>
      </w:r>
      <w:r w:rsidRPr="005B3BA1">
        <w:rPr>
          <w:shd w:val="clear" w:color="auto" w:fill="FFFFFF"/>
        </w:rPr>
        <w:t xml:space="preserve">(as the relevant committee of OCC): </w:t>
      </w:r>
    </w:p>
    <w:p w14:paraId="40072C3A" w14:textId="34D31AA1" w:rsidR="005B3BA1" w:rsidRPr="005B3BA1" w:rsidRDefault="005B3BA1" w:rsidP="005F5B56">
      <w:pPr>
        <w:pStyle w:val="ListParagraph"/>
        <w:numPr>
          <w:ilvl w:val="1"/>
          <w:numId w:val="34"/>
        </w:numPr>
        <w:shd w:val="clear" w:color="auto" w:fill="FFFFFF"/>
        <w:tabs>
          <w:tab w:val="clear" w:pos="426"/>
        </w:tabs>
        <w:spacing w:after="0" w:line="276" w:lineRule="auto"/>
        <w:ind w:left="1418" w:hanging="283"/>
        <w:contextualSpacing/>
        <w:rPr>
          <w:b/>
          <w:bCs/>
          <w:u w:val="single"/>
        </w:rPr>
      </w:pPr>
      <w:r w:rsidRPr="005E64FC">
        <w:rPr>
          <w:shd w:val="clear" w:color="auto" w:fill="FFFFFF"/>
        </w:rPr>
        <w:t>reviews the draft Annual Governance Statement</w:t>
      </w:r>
      <w:r>
        <w:rPr>
          <w:shd w:val="clear" w:color="auto" w:fill="FFFFFF"/>
        </w:rPr>
        <w:t>.</w:t>
      </w:r>
    </w:p>
    <w:p w14:paraId="4A36F6F4" w14:textId="4D292F44" w:rsidR="00D63030" w:rsidRPr="005F5B56" w:rsidRDefault="00D63030" w:rsidP="005F5B56">
      <w:pPr>
        <w:pStyle w:val="ListParagraph"/>
        <w:numPr>
          <w:ilvl w:val="1"/>
          <w:numId w:val="34"/>
        </w:numPr>
        <w:shd w:val="clear" w:color="auto" w:fill="FFFFFF"/>
        <w:tabs>
          <w:tab w:val="clear" w:pos="426"/>
        </w:tabs>
        <w:spacing w:after="0" w:line="276" w:lineRule="auto"/>
        <w:ind w:left="1418" w:hanging="283"/>
        <w:contextualSpacing/>
        <w:rPr>
          <w:b/>
          <w:bCs/>
          <w:u w:val="single"/>
        </w:rPr>
      </w:pPr>
      <w:r w:rsidRPr="005E64FC">
        <w:rPr>
          <w:shd w:val="clear" w:color="auto" w:fill="FFFFFF"/>
        </w:rPr>
        <w:t xml:space="preserve">reviews, </w:t>
      </w:r>
      <w:r w:rsidR="00DD5035" w:rsidRPr="005E64FC">
        <w:rPr>
          <w:shd w:val="clear" w:color="auto" w:fill="FFFFFF"/>
        </w:rPr>
        <w:t>challenges,</w:t>
      </w:r>
      <w:r w:rsidRPr="005E64FC">
        <w:rPr>
          <w:shd w:val="clear" w:color="auto" w:fill="FFFFFF"/>
        </w:rPr>
        <w:t xml:space="preserve"> and approves the annual governance statement and holds management (via the chief executive and lead member as signatories) to account for implementation of improvement actions identified</w:t>
      </w:r>
      <w:r w:rsidR="00B42C64">
        <w:rPr>
          <w:shd w:val="clear" w:color="auto" w:fill="FFFFFF"/>
        </w:rPr>
        <w:t>.</w:t>
      </w:r>
    </w:p>
    <w:p w14:paraId="0B04803F" w14:textId="77777777" w:rsidR="005F5B56" w:rsidRPr="005F5B56" w:rsidRDefault="005F5B56" w:rsidP="005F5B56">
      <w:pPr>
        <w:pStyle w:val="ListParagraph"/>
        <w:numPr>
          <w:ilvl w:val="0"/>
          <w:numId w:val="0"/>
        </w:numPr>
        <w:shd w:val="clear" w:color="auto" w:fill="FFFFFF"/>
        <w:tabs>
          <w:tab w:val="clear" w:pos="426"/>
        </w:tabs>
        <w:spacing w:after="0" w:line="276" w:lineRule="auto"/>
        <w:ind w:left="1134" w:hanging="425"/>
        <w:contextualSpacing/>
        <w:rPr>
          <w:b/>
          <w:bCs/>
          <w:u w:val="single"/>
        </w:rPr>
      </w:pPr>
    </w:p>
    <w:p w14:paraId="39ACBFA4" w14:textId="440A8DA8" w:rsidR="00D63030" w:rsidRPr="005B3BA1" w:rsidRDefault="00D63030" w:rsidP="005B3BA1">
      <w:pPr>
        <w:pStyle w:val="ListParagraph"/>
        <w:numPr>
          <w:ilvl w:val="0"/>
          <w:numId w:val="38"/>
        </w:numPr>
        <w:shd w:val="clear" w:color="auto" w:fill="FFFFFF" w:themeFill="background1"/>
        <w:spacing w:after="0" w:line="276" w:lineRule="auto"/>
        <w:ind w:left="1134"/>
        <w:contextualSpacing/>
        <w:rPr>
          <w:b/>
          <w:bCs/>
          <w:u w:val="single"/>
        </w:rPr>
      </w:pPr>
      <w:r w:rsidRPr="005B3BA1">
        <w:rPr>
          <w:b/>
          <w:bCs/>
          <w:shd w:val="clear" w:color="auto" w:fill="FFFFFF"/>
        </w:rPr>
        <w:t xml:space="preserve">A whole-council approach: </w:t>
      </w:r>
      <w:r w:rsidRPr="005B3BA1">
        <w:rPr>
          <w:shd w:val="clear" w:color="auto" w:fill="FFFFFF"/>
        </w:rPr>
        <w:t>assurance isn’t just the responsibility of the Monitoring Officer or the Head of Internal Audit. All members have a responsibility to oversee effective governance, and all officers have a duty to comply with good governance and provide information to demonstrate that compliance. Everyone should understand their contribution – and this may include partners and other stakeholders.</w:t>
      </w:r>
      <w:r>
        <w:t xml:space="preserve"> </w:t>
      </w:r>
      <w:r w:rsidRPr="005B3BA1">
        <w:rPr>
          <w:shd w:val="clear" w:color="auto" w:fill="FFFFFF"/>
        </w:rPr>
        <w:t xml:space="preserve">The opportunity provided by the preparation of the </w:t>
      </w:r>
      <w:r w:rsidR="6A70D2FB" w:rsidRPr="005B3BA1">
        <w:rPr>
          <w:shd w:val="clear" w:color="auto" w:fill="FFFFFF"/>
        </w:rPr>
        <w:t>A</w:t>
      </w:r>
      <w:r w:rsidRPr="005B3BA1">
        <w:rPr>
          <w:shd w:val="clear" w:color="auto" w:fill="FFFFFF"/>
        </w:rPr>
        <w:t xml:space="preserve">nnual </w:t>
      </w:r>
      <w:r w:rsidR="1F7515EF" w:rsidRPr="005B3BA1">
        <w:rPr>
          <w:shd w:val="clear" w:color="auto" w:fill="FFFFFF"/>
        </w:rPr>
        <w:t>G</w:t>
      </w:r>
      <w:r w:rsidRPr="005B3BA1">
        <w:rPr>
          <w:shd w:val="clear" w:color="auto" w:fill="FFFFFF"/>
        </w:rPr>
        <w:t xml:space="preserve">overnance </w:t>
      </w:r>
      <w:r w:rsidR="6EBF3348" w:rsidRPr="005B3BA1">
        <w:rPr>
          <w:shd w:val="clear" w:color="auto" w:fill="FFFFFF"/>
        </w:rPr>
        <w:t>S</w:t>
      </w:r>
      <w:r w:rsidRPr="005B3BA1">
        <w:rPr>
          <w:shd w:val="clear" w:color="auto" w:fill="FFFFFF"/>
        </w:rPr>
        <w:t>tatement to step back and consider how well the authority’s systems and controls are working as a whole</w:t>
      </w:r>
      <w:r w:rsidR="00DD5035" w:rsidRPr="005B3BA1">
        <w:rPr>
          <w:shd w:val="clear" w:color="auto" w:fill="FFFFFF"/>
        </w:rPr>
        <w:t>,</w:t>
      </w:r>
      <w:r w:rsidRPr="005B3BA1">
        <w:rPr>
          <w:shd w:val="clear" w:color="auto" w:fill="FFFFFF"/>
        </w:rPr>
        <w:t xml:space="preserve"> is a crucial one: depending on the scale of challenges and risks the authority is facing, the corporate statutory officers and/or audit committee may need to find other opportunities to do so at intervals during the year.</w:t>
      </w:r>
    </w:p>
    <w:p w14:paraId="7291B3E7" w14:textId="77777777" w:rsidR="009A6D45" w:rsidRPr="00DB6379" w:rsidRDefault="009A6D45" w:rsidP="009A6D45">
      <w:pPr>
        <w:pStyle w:val="ListParagraph"/>
        <w:numPr>
          <w:ilvl w:val="0"/>
          <w:numId w:val="0"/>
        </w:numPr>
        <w:shd w:val="clear" w:color="auto" w:fill="FFFFFF"/>
        <w:tabs>
          <w:tab w:val="clear" w:pos="426"/>
        </w:tabs>
        <w:spacing w:after="0" w:line="276" w:lineRule="auto"/>
        <w:ind w:left="1276"/>
        <w:contextualSpacing/>
        <w:rPr>
          <w:b/>
          <w:bCs/>
          <w:u w:val="single"/>
        </w:rPr>
      </w:pPr>
    </w:p>
    <w:p w14:paraId="0FE94B30" w14:textId="391FB00B" w:rsidR="00D01A60" w:rsidRPr="00D01A60" w:rsidRDefault="009A6D45" w:rsidP="00D01A60">
      <w:pPr>
        <w:pStyle w:val="ListParagraph"/>
        <w:rPr>
          <w:color w:val="auto"/>
        </w:rPr>
      </w:pPr>
      <w:r>
        <w:rPr>
          <w:color w:val="auto"/>
        </w:rPr>
        <w:lastRenderedPageBreak/>
        <w:t>For 2023/2024</w:t>
      </w:r>
      <w:r w:rsidRPr="239DBF85">
        <w:rPr>
          <w:color w:val="auto"/>
        </w:rPr>
        <w:t xml:space="preserve"> the </w:t>
      </w:r>
      <w:r w:rsidR="467691A1" w:rsidRPr="239DBF85">
        <w:rPr>
          <w:color w:val="auto"/>
        </w:rPr>
        <w:t>format of</w:t>
      </w:r>
      <w:r>
        <w:rPr>
          <w:color w:val="auto"/>
        </w:rPr>
        <w:t xml:space="preserve"> the AGS has been refreshed and redesigned to reflect the new Code of Corporate Governance and to increase its effectiveness for the Council in </w:t>
      </w:r>
      <w:r w:rsidR="00D01A60">
        <w:rPr>
          <w:color w:val="auto"/>
        </w:rPr>
        <w:t>reviewing</w:t>
      </w:r>
      <w:r>
        <w:rPr>
          <w:color w:val="auto"/>
        </w:rPr>
        <w:t xml:space="preserve"> its </w:t>
      </w:r>
      <w:r w:rsidR="00D01A60">
        <w:rPr>
          <w:color w:val="auto"/>
        </w:rPr>
        <w:t>governance</w:t>
      </w:r>
      <w:r>
        <w:rPr>
          <w:color w:val="auto"/>
        </w:rPr>
        <w:t xml:space="preserve"> processes and arrangements and their use. </w:t>
      </w:r>
      <w:r w:rsidR="00D01A60">
        <w:rPr>
          <w:color w:val="auto"/>
        </w:rPr>
        <w:t xml:space="preserve">The template has been </w:t>
      </w:r>
      <w:r w:rsidR="00D01A60" w:rsidRPr="00DB6379">
        <w:t>developed that:</w:t>
      </w:r>
    </w:p>
    <w:p w14:paraId="03F6335A" w14:textId="658C3953" w:rsidR="00D01A60" w:rsidRPr="005E64FC" w:rsidRDefault="1D776205" w:rsidP="239DBF85">
      <w:pPr>
        <w:numPr>
          <w:ilvl w:val="0"/>
          <w:numId w:val="36"/>
        </w:numPr>
        <w:shd w:val="clear" w:color="auto" w:fill="FFFFFF" w:themeFill="background1"/>
        <w:tabs>
          <w:tab w:val="clear" w:pos="720"/>
          <w:tab w:val="num" w:pos="1134"/>
        </w:tabs>
        <w:spacing w:after="0" w:line="276" w:lineRule="auto"/>
        <w:ind w:left="1134"/>
      </w:pPr>
      <w:r>
        <w:t>puts</w:t>
      </w:r>
      <w:r w:rsidR="00D01A60" w:rsidRPr="005E64FC">
        <w:t xml:space="preserve"> a focus on outcomes and value for </w:t>
      </w:r>
      <w:r w:rsidR="00DD5035" w:rsidRPr="005E64FC">
        <w:t>money</w:t>
      </w:r>
      <w:r w:rsidR="00DD5035">
        <w:t>.</w:t>
      </w:r>
    </w:p>
    <w:p w14:paraId="171CBF0B" w14:textId="3117D3EE" w:rsidR="00D01A60" w:rsidRPr="005E64FC" w:rsidRDefault="00D01A60" w:rsidP="239DBF85">
      <w:pPr>
        <w:numPr>
          <w:ilvl w:val="0"/>
          <w:numId w:val="36"/>
        </w:numPr>
        <w:shd w:val="clear" w:color="auto" w:fill="FFFFFF" w:themeFill="background1"/>
        <w:tabs>
          <w:tab w:val="clear" w:pos="720"/>
          <w:tab w:val="num" w:pos="1134"/>
        </w:tabs>
        <w:spacing w:after="0" w:line="276" w:lineRule="auto"/>
        <w:ind w:left="1134"/>
      </w:pPr>
      <w:r>
        <w:t>evaluate</w:t>
      </w:r>
      <w:r w:rsidR="10187855">
        <w:t>s</w:t>
      </w:r>
      <w:r w:rsidRPr="005E64FC">
        <w:t xml:space="preserve"> against the local code and </w:t>
      </w:r>
      <w:r w:rsidR="00DD5035" w:rsidRPr="005E64FC">
        <w:t>principles</w:t>
      </w:r>
      <w:r w:rsidR="00DD5035">
        <w:t>.</w:t>
      </w:r>
    </w:p>
    <w:p w14:paraId="44D9B714" w14:textId="03026C4E" w:rsidR="00D01A60" w:rsidRPr="005E64FC" w:rsidRDefault="00D01A60" w:rsidP="239DBF85">
      <w:pPr>
        <w:numPr>
          <w:ilvl w:val="0"/>
          <w:numId w:val="36"/>
        </w:numPr>
        <w:shd w:val="clear" w:color="auto" w:fill="FFFFFF" w:themeFill="background1"/>
        <w:tabs>
          <w:tab w:val="clear" w:pos="720"/>
          <w:tab w:val="num" w:pos="1134"/>
        </w:tabs>
        <w:spacing w:after="0" w:line="276" w:lineRule="auto"/>
        <w:ind w:left="1134"/>
      </w:pPr>
      <w:r w:rsidRPr="005E64FC">
        <w:t xml:space="preserve">is written openly and in an easy-to-read </w:t>
      </w:r>
      <w:r w:rsidR="00DD5035" w:rsidRPr="005E64FC">
        <w:t>way</w:t>
      </w:r>
      <w:r w:rsidR="00DD5035">
        <w:t>.</w:t>
      </w:r>
      <w:r w:rsidRPr="005E64FC">
        <w:t xml:space="preserve"> </w:t>
      </w:r>
    </w:p>
    <w:p w14:paraId="6F5148F0" w14:textId="19611AC9" w:rsidR="00D01A60" w:rsidRPr="005E64FC" w:rsidRDefault="00D01A60" w:rsidP="239DBF85">
      <w:pPr>
        <w:numPr>
          <w:ilvl w:val="0"/>
          <w:numId w:val="36"/>
        </w:numPr>
        <w:shd w:val="clear" w:color="auto" w:fill="FFFFFF" w:themeFill="background1"/>
        <w:tabs>
          <w:tab w:val="clear" w:pos="720"/>
          <w:tab w:val="num" w:pos="1134"/>
        </w:tabs>
        <w:spacing w:after="0" w:line="276" w:lineRule="auto"/>
        <w:ind w:left="1134"/>
      </w:pPr>
      <w:r w:rsidRPr="005E64FC">
        <w:t xml:space="preserve">includes a conclusion on whether arrangements are fit for </w:t>
      </w:r>
      <w:r w:rsidR="00DD5035" w:rsidRPr="005E64FC">
        <w:t>purpose</w:t>
      </w:r>
      <w:r w:rsidR="00DD5035">
        <w:t>.</w:t>
      </w:r>
    </w:p>
    <w:p w14:paraId="1C6814C1" w14:textId="6BE8B3FD" w:rsidR="00D01A60" w:rsidRDefault="00D01A60" w:rsidP="239DBF85">
      <w:pPr>
        <w:numPr>
          <w:ilvl w:val="0"/>
          <w:numId w:val="36"/>
        </w:numPr>
        <w:shd w:val="clear" w:color="auto" w:fill="FFFFFF" w:themeFill="background1"/>
        <w:tabs>
          <w:tab w:val="clear" w:pos="720"/>
          <w:tab w:val="num" w:pos="1134"/>
        </w:tabs>
        <w:spacing w:after="0" w:line="276" w:lineRule="auto"/>
        <w:ind w:left="1134"/>
      </w:pPr>
      <w:r w:rsidRPr="005E64FC">
        <w:t xml:space="preserve">identifies significant governance issues and produces an action plan to address </w:t>
      </w:r>
      <w:r w:rsidR="00DD5035" w:rsidRPr="005E64FC">
        <w:t>them</w:t>
      </w:r>
      <w:r w:rsidR="00DD5035">
        <w:t>.</w:t>
      </w:r>
    </w:p>
    <w:p w14:paraId="5C513ACC" w14:textId="25D9E6C6" w:rsidR="00F167B0" w:rsidRPr="005E64FC" w:rsidRDefault="00F167B0" w:rsidP="239DBF85">
      <w:pPr>
        <w:numPr>
          <w:ilvl w:val="0"/>
          <w:numId w:val="36"/>
        </w:numPr>
        <w:shd w:val="clear" w:color="auto" w:fill="FFFFFF" w:themeFill="background1"/>
        <w:tabs>
          <w:tab w:val="clear" w:pos="720"/>
          <w:tab w:val="num" w:pos="1134"/>
        </w:tabs>
        <w:spacing w:after="0" w:line="276" w:lineRule="auto"/>
        <w:ind w:left="1134"/>
      </w:pPr>
      <w:r w:rsidRPr="005E64FC">
        <w:t xml:space="preserve">explains action taken in the year to address </w:t>
      </w:r>
      <w:r w:rsidR="0F78614B">
        <w:t>any</w:t>
      </w:r>
      <w:r w:rsidRPr="005E64FC">
        <w:t xml:space="preserve"> significant governance issues identified in the previous year's statement (though note, this will be difficult to do based on the last </w:t>
      </w:r>
      <w:r>
        <w:t>AGS)</w:t>
      </w:r>
      <w:r w:rsidR="2361731C">
        <w:t xml:space="preserve"> and</w:t>
      </w:r>
    </w:p>
    <w:p w14:paraId="6F587DBD" w14:textId="594DD22A" w:rsidR="00B308E9" w:rsidRPr="001356F1" w:rsidRDefault="00F167B0" w:rsidP="239DBF85">
      <w:pPr>
        <w:numPr>
          <w:ilvl w:val="0"/>
          <w:numId w:val="36"/>
        </w:numPr>
        <w:shd w:val="clear" w:color="auto" w:fill="FFFFFF" w:themeFill="background1"/>
        <w:tabs>
          <w:tab w:val="clear" w:pos="720"/>
          <w:tab w:val="num" w:pos="1134"/>
        </w:tabs>
        <w:spacing w:after="0" w:line="276" w:lineRule="auto"/>
        <w:ind w:left="1134"/>
        <w:rPr>
          <w:rStyle w:val="ListParagraphChar"/>
        </w:rPr>
      </w:pPr>
      <w:r>
        <w:t xml:space="preserve"> is signed and endorsed by the Leader and Chief </w:t>
      </w:r>
      <w:r w:rsidR="008F4824">
        <w:t>Executive</w:t>
      </w:r>
      <w:r w:rsidR="00DD5035">
        <w:t>.</w:t>
      </w:r>
      <w:r>
        <w:t xml:space="preserve"> </w:t>
      </w:r>
    </w:p>
    <w:p w14:paraId="1B464164" w14:textId="023B5236" w:rsidR="00E87F7A" w:rsidRPr="001356F1" w:rsidRDefault="00177052" w:rsidP="00E87F7A">
      <w:pPr>
        <w:spacing w:before="240"/>
        <w:outlineLvl w:val="0"/>
        <w:rPr>
          <w:b/>
        </w:rPr>
      </w:pPr>
      <w:r>
        <w:rPr>
          <w:b/>
        </w:rPr>
        <w:t>Annual Governance Statement 2023/2024</w:t>
      </w:r>
    </w:p>
    <w:p w14:paraId="7B75F8F9" w14:textId="725FE6F0" w:rsidR="00653817" w:rsidRDefault="00653817" w:rsidP="005570B5">
      <w:pPr>
        <w:pStyle w:val="ListParagraph"/>
      </w:pPr>
      <w:r>
        <w:t xml:space="preserve">The preparation of the Annual Governance Statement (“the AGS”), to support the Annual Statement of Accounts, is a statutory requirement (Accounts and Audit Regulations 2015) for local authorities. Its purpose is to demonstrate and evidence that there is a continuous review of </w:t>
      </w:r>
      <w:r w:rsidR="58096F7C">
        <w:t>the</w:t>
      </w:r>
      <w:r>
        <w:t xml:space="preserve"> control environment - the effectiveness of the Council’s internal control, performance, and risk management systems. This allows an assurance on their effectiveness to be provided so that users of the Annual Report and Statement of Accounts can be satisfied that proper arrangements are in place to govern spending and safeguard assets. The process also enables the production of a corporate action plan to address any identified weaknesses.</w:t>
      </w:r>
    </w:p>
    <w:p w14:paraId="6CF51AE4" w14:textId="1164C4F9" w:rsidR="00653817" w:rsidRDefault="00653817" w:rsidP="005570B5">
      <w:pPr>
        <w:pStyle w:val="ListParagraph"/>
      </w:pPr>
      <w:r>
        <w:t xml:space="preserve">The AGS also explains what governance challenges the Council is facing and how it is addressing those challenges and seeking improvement in how its functions are exercised. As part of the process of identifying issues </w:t>
      </w:r>
      <w:r w:rsidR="003E3194">
        <w:t>self-assessment</w:t>
      </w:r>
      <w:r>
        <w:t xml:space="preserve"> information is collated for all Service Areas through annual governance questionnaires. The responses to the questionnaires are analysed to identify recurring governance challenges.</w:t>
      </w:r>
    </w:p>
    <w:p w14:paraId="74656FD9" w14:textId="2A6741F9" w:rsidR="00107590" w:rsidRDefault="003E3194" w:rsidP="005570B5">
      <w:pPr>
        <w:pStyle w:val="ListParagraph"/>
      </w:pPr>
      <w:r>
        <w:t>Overall,</w:t>
      </w:r>
      <w:r w:rsidR="00107590">
        <w:t xml:space="preserve"> the Annual Report from the Council’s internal auditors provides that moderate assurance can be given that there is a sound system of internal control, designed to meet the Council’s objectives and controls are being applied consistently.</w:t>
      </w:r>
    </w:p>
    <w:p w14:paraId="04C2F104" w14:textId="014F4FCD" w:rsidR="007155F0" w:rsidRDefault="00107590" w:rsidP="007155F0">
      <w:pPr>
        <w:pStyle w:val="ListParagraph"/>
      </w:pPr>
      <w:r>
        <w:t>The Committee is required to consider and, if satisfied, approve the AGS. The AGS forms part of the Council’s Statement of Accounts and is attached to the report as Appendix 1.</w:t>
      </w:r>
    </w:p>
    <w:p w14:paraId="70ADAABE" w14:textId="77777777" w:rsidR="0009055E" w:rsidRDefault="0009055E" w:rsidP="0009055E">
      <w:pPr>
        <w:pStyle w:val="ListParagraph"/>
        <w:numPr>
          <w:ilvl w:val="0"/>
          <w:numId w:val="0"/>
        </w:numPr>
        <w:ind w:left="426"/>
      </w:pPr>
    </w:p>
    <w:p w14:paraId="1B46416D" w14:textId="77777777" w:rsidR="0040736F" w:rsidRPr="001356F1" w:rsidRDefault="002329CF" w:rsidP="004A6D2F">
      <w:pPr>
        <w:pStyle w:val="Heading1"/>
      </w:pPr>
      <w:r w:rsidRPr="001356F1">
        <w:t>Financial implications</w:t>
      </w:r>
    </w:p>
    <w:p w14:paraId="3FFA8847" w14:textId="2178DE5D" w:rsidR="0009055E" w:rsidRDefault="006176F4" w:rsidP="0009055E">
      <w:pPr>
        <w:pStyle w:val="ListParagraph"/>
      </w:pPr>
      <w:r>
        <w:t>There are no financial implications arising directly from the report.</w:t>
      </w:r>
    </w:p>
    <w:p w14:paraId="23A02CEC" w14:textId="77777777" w:rsidR="0009055E" w:rsidRDefault="0009055E" w:rsidP="0009055E"/>
    <w:p w14:paraId="4E9C71BE" w14:textId="77777777" w:rsidR="0009055E" w:rsidRPr="001356F1" w:rsidRDefault="0009055E" w:rsidP="0009055E"/>
    <w:p w14:paraId="1B46416F" w14:textId="77777777" w:rsidR="0040736F" w:rsidRPr="001356F1" w:rsidRDefault="00DA614B" w:rsidP="004A6D2F">
      <w:pPr>
        <w:pStyle w:val="Heading1"/>
      </w:pPr>
      <w:r w:rsidRPr="001356F1">
        <w:lastRenderedPageBreak/>
        <w:t>Legal issues</w:t>
      </w:r>
    </w:p>
    <w:p w14:paraId="1B464170" w14:textId="7C72DD4D" w:rsidR="00E87F7A" w:rsidRPr="001356F1" w:rsidRDefault="002D5CA1" w:rsidP="005570B5">
      <w:pPr>
        <w:pStyle w:val="ListParagraph"/>
      </w:pPr>
      <w:r>
        <w:t>Regulation 6(1)(a) of the Accounts and Audit Regulations 2015 requires an authority to conduct a review at least once in a year of the effectiveness of its systems of internal control and include a statement reporting on the review with any published Statement of Accounts. The Annual Governance Statement explains how Oxford City Council meets this requirement.</w:t>
      </w:r>
    </w:p>
    <w:p w14:paraId="1B464177"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B46417A"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B464178"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B464179" w14:textId="18922C61" w:rsidR="00E87F7A" w:rsidRPr="001356F1" w:rsidRDefault="00C93BFD" w:rsidP="00A46E98">
            <w:r>
              <w:t>Emma Jackman</w:t>
            </w:r>
          </w:p>
        </w:tc>
      </w:tr>
      <w:tr w:rsidR="00DF093E" w:rsidRPr="001356F1" w14:paraId="1B46417D"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B46417B"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1B46417C" w14:textId="06C312CF" w:rsidR="00E87F7A" w:rsidRPr="001356F1" w:rsidRDefault="00C93BFD" w:rsidP="00A46E98">
            <w:r>
              <w:t xml:space="preserve">Head of Law and Governance </w:t>
            </w:r>
          </w:p>
        </w:tc>
      </w:tr>
      <w:tr w:rsidR="005570B5" w:rsidRPr="001356F1" w14:paraId="1B464186"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1B464184"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B464185" w14:textId="780BCFD3" w:rsidR="00E87F7A" w:rsidRPr="001356F1" w:rsidRDefault="00C93BFD" w:rsidP="00A46E98">
            <w:pPr>
              <w:rPr>
                <w:rStyle w:val="Hyperlink"/>
                <w:color w:val="000000"/>
              </w:rPr>
            </w:pPr>
            <w:r>
              <w:rPr>
                <w:rStyle w:val="Hyperlink"/>
                <w:color w:val="000000"/>
              </w:rPr>
              <w:t>ejackman@oxford.gov.uk</w:t>
            </w:r>
          </w:p>
        </w:tc>
      </w:tr>
    </w:tbl>
    <w:p w14:paraId="1B464187" w14:textId="77777777" w:rsidR="00433B96" w:rsidRPr="001356F1" w:rsidRDefault="00433B96" w:rsidP="004A6D2F"/>
    <w:p w14:paraId="1B4641B4" w14:textId="77777777" w:rsidR="00821AAF" w:rsidRPr="009E51FC" w:rsidRDefault="00821AAF" w:rsidP="0093067A"/>
    <w:sectPr w:rsidR="00821AAF" w:rsidRPr="009E51FC" w:rsidSect="00B558E1">
      <w:footerReference w:type="even" r:id="rId13"/>
      <w:headerReference w:type="first" r:id="rId14"/>
      <w:footerReference w:type="first" r:id="rId15"/>
      <w:pgSz w:w="11906" w:h="16838" w:code="9"/>
      <w:pgMar w:top="1304"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A353" w14:textId="77777777" w:rsidR="00FA026E" w:rsidRDefault="00FA026E" w:rsidP="004A6D2F">
      <w:r>
        <w:separator/>
      </w:r>
    </w:p>
  </w:endnote>
  <w:endnote w:type="continuationSeparator" w:id="0">
    <w:p w14:paraId="408DBF49" w14:textId="77777777" w:rsidR="00FA026E" w:rsidRDefault="00FA026E" w:rsidP="004A6D2F">
      <w:r>
        <w:continuationSeparator/>
      </w:r>
    </w:p>
  </w:endnote>
  <w:endnote w:type="continuationNotice" w:id="1">
    <w:p w14:paraId="522E26E7" w14:textId="77777777" w:rsidR="00684FF4" w:rsidRDefault="00684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9" w14:textId="77777777" w:rsidR="00364FAD" w:rsidRDefault="00364FAD" w:rsidP="004A6D2F">
    <w:pPr>
      <w:pStyle w:val="Footer"/>
    </w:pPr>
    <w:r>
      <w:t>Do not use a footer or page numbers.</w:t>
    </w:r>
  </w:p>
  <w:p w14:paraId="1B4641BA" w14:textId="77777777" w:rsidR="00364FAD" w:rsidRDefault="00364FAD" w:rsidP="004A6D2F">
    <w:pPr>
      <w:pStyle w:val="Footer"/>
    </w:pPr>
  </w:p>
  <w:p w14:paraId="1B4641B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D"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3437" w14:textId="77777777" w:rsidR="00FA026E" w:rsidRDefault="00FA026E" w:rsidP="004A6D2F">
      <w:r>
        <w:separator/>
      </w:r>
    </w:p>
  </w:footnote>
  <w:footnote w:type="continuationSeparator" w:id="0">
    <w:p w14:paraId="42E441F6" w14:textId="77777777" w:rsidR="00FA026E" w:rsidRDefault="00FA026E" w:rsidP="004A6D2F">
      <w:r>
        <w:continuationSeparator/>
      </w:r>
    </w:p>
  </w:footnote>
  <w:footnote w:type="continuationNotice" w:id="1">
    <w:p w14:paraId="63715EB8" w14:textId="77777777" w:rsidR="00684FF4" w:rsidRDefault="00684F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C" w14:textId="77777777" w:rsidR="00D5547E" w:rsidRDefault="00DD2FED" w:rsidP="00D5547E">
    <w:pPr>
      <w:pStyle w:val="Header"/>
      <w:jc w:val="right"/>
    </w:pPr>
    <w:r>
      <w:rPr>
        <w:noProof/>
      </w:rPr>
      <w:drawing>
        <wp:inline distT="0" distB="0" distL="0" distR="0" wp14:anchorId="1B4641BE" wp14:editId="1B4641BF">
          <wp:extent cx="843280" cy="1117600"/>
          <wp:effectExtent l="0" t="0" r="0" b="6350"/>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E71151"/>
    <w:multiLevelType w:val="hybridMultilevel"/>
    <w:tmpl w:val="2520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B6BF4"/>
    <w:multiLevelType w:val="multilevel"/>
    <w:tmpl w:val="5EE8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3113A7"/>
    <w:multiLevelType w:val="multilevel"/>
    <w:tmpl w:val="411C3D5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BA5FD8"/>
    <w:multiLevelType w:val="multilevel"/>
    <w:tmpl w:val="43D6D2FA"/>
    <w:numStyleLink w:val="StyleBulletedSymbolsymbolLeft063cmHanging063cm"/>
  </w:abstractNum>
  <w:abstractNum w:abstractNumId="30"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22831"/>
    <w:multiLevelType w:val="multilevel"/>
    <w:tmpl w:val="43D6D2FA"/>
    <w:numStyleLink w:val="StyleBulletedSymbolsymbolLeft063cmHanging063cm"/>
  </w:abstractNum>
  <w:abstractNum w:abstractNumId="3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F140B"/>
    <w:multiLevelType w:val="hybridMultilevel"/>
    <w:tmpl w:val="4A6C8E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6B6CA2"/>
    <w:multiLevelType w:val="hybridMultilevel"/>
    <w:tmpl w:val="9940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365C6"/>
    <w:multiLevelType w:val="multilevel"/>
    <w:tmpl w:val="E67CE66C"/>
    <w:numStyleLink w:val="StyleNumberedLeft0cmHanging075cm"/>
  </w:abstractNum>
  <w:num w:numId="1" w16cid:durableId="1993485574">
    <w:abstractNumId w:val="27"/>
  </w:num>
  <w:num w:numId="2" w16cid:durableId="1107776791">
    <w:abstractNumId w:val="33"/>
  </w:num>
  <w:num w:numId="3" w16cid:durableId="1824158512">
    <w:abstractNumId w:val="24"/>
  </w:num>
  <w:num w:numId="4" w16cid:durableId="884676844">
    <w:abstractNumId w:val="19"/>
  </w:num>
  <w:num w:numId="5" w16cid:durableId="766585092">
    <w:abstractNumId w:val="30"/>
  </w:num>
  <w:num w:numId="6" w16cid:durableId="1656684613">
    <w:abstractNumId w:val="35"/>
  </w:num>
  <w:num w:numId="7" w16cid:durableId="823357845">
    <w:abstractNumId w:val="23"/>
  </w:num>
  <w:num w:numId="8" w16cid:durableId="811868429">
    <w:abstractNumId w:val="21"/>
  </w:num>
  <w:num w:numId="9" w16cid:durableId="1346402426">
    <w:abstractNumId w:val="13"/>
  </w:num>
  <w:num w:numId="10" w16cid:durableId="808744313">
    <w:abstractNumId w:val="16"/>
  </w:num>
  <w:num w:numId="11" w16cid:durableId="163011588">
    <w:abstractNumId w:val="26"/>
  </w:num>
  <w:num w:numId="12" w16cid:durableId="1366831692">
    <w:abstractNumId w:val="25"/>
  </w:num>
  <w:num w:numId="13" w16cid:durableId="847216558">
    <w:abstractNumId w:val="10"/>
  </w:num>
  <w:num w:numId="14" w16cid:durableId="299966372">
    <w:abstractNumId w:val="37"/>
    <w:lvlOverride w:ilvl="0">
      <w:lvl w:ilvl="0">
        <w:start w:val="1"/>
        <w:numFmt w:val="decimal"/>
        <w:pStyle w:val="ListParagraph"/>
        <w:lvlText w:val="%1."/>
        <w:lvlJc w:val="left"/>
        <w:pPr>
          <w:ind w:left="360" w:hanging="360"/>
        </w:pPr>
        <w:rPr>
          <w:rFonts w:ascii="Arial" w:hAnsi="Arial"/>
          <w:b w:val="0"/>
          <w:bCs w:val="0"/>
          <w:color w:val="000000"/>
          <w:sz w:val="24"/>
        </w:rPr>
      </w:lvl>
    </w:lvlOverride>
  </w:num>
  <w:num w:numId="15" w16cid:durableId="1326930247">
    <w:abstractNumId w:val="17"/>
  </w:num>
  <w:num w:numId="16" w16cid:durableId="187524775">
    <w:abstractNumId w:val="11"/>
  </w:num>
  <w:num w:numId="17" w16cid:durableId="1140348097">
    <w:abstractNumId w:val="29"/>
  </w:num>
  <w:num w:numId="18" w16cid:durableId="631862188">
    <w:abstractNumId w:val="12"/>
  </w:num>
  <w:num w:numId="19" w16cid:durableId="1913923818">
    <w:abstractNumId w:val="31"/>
  </w:num>
  <w:num w:numId="20" w16cid:durableId="120000819">
    <w:abstractNumId w:val="18"/>
  </w:num>
  <w:num w:numId="21" w16cid:durableId="1831368928">
    <w:abstractNumId w:val="22"/>
  </w:num>
  <w:num w:numId="22" w16cid:durableId="1615475904">
    <w:abstractNumId w:val="15"/>
  </w:num>
  <w:num w:numId="23" w16cid:durableId="1633250992">
    <w:abstractNumId w:val="32"/>
  </w:num>
  <w:num w:numId="24" w16cid:durableId="648022851">
    <w:abstractNumId w:val="9"/>
  </w:num>
  <w:num w:numId="25" w16cid:durableId="2028947666">
    <w:abstractNumId w:val="8"/>
  </w:num>
  <w:num w:numId="26" w16cid:durableId="398022591">
    <w:abstractNumId w:val="7"/>
  </w:num>
  <w:num w:numId="27" w16cid:durableId="287859794">
    <w:abstractNumId w:val="6"/>
  </w:num>
  <w:num w:numId="28" w16cid:durableId="1805076246">
    <w:abstractNumId w:val="5"/>
  </w:num>
  <w:num w:numId="29" w16cid:durableId="1714767310">
    <w:abstractNumId w:val="4"/>
  </w:num>
  <w:num w:numId="30" w16cid:durableId="673604615">
    <w:abstractNumId w:val="3"/>
  </w:num>
  <w:num w:numId="31" w16cid:durableId="1499272415">
    <w:abstractNumId w:val="2"/>
  </w:num>
  <w:num w:numId="32" w16cid:durableId="1117138956">
    <w:abstractNumId w:val="1"/>
  </w:num>
  <w:num w:numId="33" w16cid:durableId="681131216">
    <w:abstractNumId w:val="0"/>
  </w:num>
  <w:num w:numId="34" w16cid:durableId="764151234">
    <w:abstractNumId w:val="14"/>
  </w:num>
  <w:num w:numId="35" w16cid:durableId="621231447">
    <w:abstractNumId w:val="34"/>
  </w:num>
  <w:num w:numId="36" w16cid:durableId="2035956066">
    <w:abstractNumId w:val="20"/>
  </w:num>
  <w:num w:numId="37" w16cid:durableId="914782179">
    <w:abstractNumId w:val="28"/>
  </w:num>
  <w:num w:numId="38" w16cid:durableId="175054368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25D90"/>
    <w:rsid w:val="00034933"/>
    <w:rsid w:val="00045F8B"/>
    <w:rsid w:val="00046D2B"/>
    <w:rsid w:val="00056263"/>
    <w:rsid w:val="00064D8A"/>
    <w:rsid w:val="00064F82"/>
    <w:rsid w:val="00066510"/>
    <w:rsid w:val="00077523"/>
    <w:rsid w:val="0009055E"/>
    <w:rsid w:val="000C089F"/>
    <w:rsid w:val="000C3928"/>
    <w:rsid w:val="000C5E8E"/>
    <w:rsid w:val="000C6912"/>
    <w:rsid w:val="000E5C68"/>
    <w:rsid w:val="000F4751"/>
    <w:rsid w:val="0010524C"/>
    <w:rsid w:val="00107590"/>
    <w:rsid w:val="00111FB1"/>
    <w:rsid w:val="00113418"/>
    <w:rsid w:val="001356F1"/>
    <w:rsid w:val="00136994"/>
    <w:rsid w:val="0014128E"/>
    <w:rsid w:val="00151888"/>
    <w:rsid w:val="00170A2D"/>
    <w:rsid w:val="00177052"/>
    <w:rsid w:val="001808BC"/>
    <w:rsid w:val="00182B81"/>
    <w:rsid w:val="0018619D"/>
    <w:rsid w:val="001A011E"/>
    <w:rsid w:val="001A066A"/>
    <w:rsid w:val="001A13E6"/>
    <w:rsid w:val="001A5731"/>
    <w:rsid w:val="001B42C3"/>
    <w:rsid w:val="001C16A4"/>
    <w:rsid w:val="001C5D5E"/>
    <w:rsid w:val="001D678D"/>
    <w:rsid w:val="001E03F8"/>
    <w:rsid w:val="001E3376"/>
    <w:rsid w:val="002069B3"/>
    <w:rsid w:val="002329CF"/>
    <w:rsid w:val="00232F5B"/>
    <w:rsid w:val="00247C29"/>
    <w:rsid w:val="00260467"/>
    <w:rsid w:val="00263EA3"/>
    <w:rsid w:val="00273B89"/>
    <w:rsid w:val="00284F85"/>
    <w:rsid w:val="0029012B"/>
    <w:rsid w:val="00290915"/>
    <w:rsid w:val="002A22E2"/>
    <w:rsid w:val="002C64F7"/>
    <w:rsid w:val="002D2FD2"/>
    <w:rsid w:val="002D5CA1"/>
    <w:rsid w:val="002F082F"/>
    <w:rsid w:val="002F41F2"/>
    <w:rsid w:val="00301BF3"/>
    <w:rsid w:val="0030208D"/>
    <w:rsid w:val="00321B32"/>
    <w:rsid w:val="00323418"/>
    <w:rsid w:val="003357BF"/>
    <w:rsid w:val="00344BE0"/>
    <w:rsid w:val="00364FAD"/>
    <w:rsid w:val="0036738F"/>
    <w:rsid w:val="0036759C"/>
    <w:rsid w:val="00367AE5"/>
    <w:rsid w:val="00367D71"/>
    <w:rsid w:val="0038150A"/>
    <w:rsid w:val="003B6E75"/>
    <w:rsid w:val="003D0379"/>
    <w:rsid w:val="003D2574"/>
    <w:rsid w:val="003D4C59"/>
    <w:rsid w:val="003E3194"/>
    <w:rsid w:val="003F4267"/>
    <w:rsid w:val="00404032"/>
    <w:rsid w:val="0040736F"/>
    <w:rsid w:val="00412C1F"/>
    <w:rsid w:val="00421CB2"/>
    <w:rsid w:val="004268B9"/>
    <w:rsid w:val="00433B96"/>
    <w:rsid w:val="004440F1"/>
    <w:rsid w:val="004456DD"/>
    <w:rsid w:val="00445E48"/>
    <w:rsid w:val="00446CDF"/>
    <w:rsid w:val="004521B7"/>
    <w:rsid w:val="00462AB5"/>
    <w:rsid w:val="00465EAF"/>
    <w:rsid w:val="004738C5"/>
    <w:rsid w:val="004811ED"/>
    <w:rsid w:val="00482793"/>
    <w:rsid w:val="00491046"/>
    <w:rsid w:val="004954C5"/>
    <w:rsid w:val="00496FAD"/>
    <w:rsid w:val="004A2AC7"/>
    <w:rsid w:val="004A5337"/>
    <w:rsid w:val="004A6D2F"/>
    <w:rsid w:val="004B348B"/>
    <w:rsid w:val="004C2887"/>
    <w:rsid w:val="004D2626"/>
    <w:rsid w:val="004D6E26"/>
    <w:rsid w:val="004D77D3"/>
    <w:rsid w:val="004E2959"/>
    <w:rsid w:val="004F20EF"/>
    <w:rsid w:val="0050321C"/>
    <w:rsid w:val="0054712D"/>
    <w:rsid w:val="00547EF6"/>
    <w:rsid w:val="005570B5"/>
    <w:rsid w:val="00567E18"/>
    <w:rsid w:val="00575F5F"/>
    <w:rsid w:val="00581805"/>
    <w:rsid w:val="00585F76"/>
    <w:rsid w:val="005A2220"/>
    <w:rsid w:val="005A34E4"/>
    <w:rsid w:val="005B17F2"/>
    <w:rsid w:val="005B3BA1"/>
    <w:rsid w:val="005B7FB0"/>
    <w:rsid w:val="005C35A5"/>
    <w:rsid w:val="005C577C"/>
    <w:rsid w:val="005D0621"/>
    <w:rsid w:val="005D1E27"/>
    <w:rsid w:val="005D6CC2"/>
    <w:rsid w:val="005E022E"/>
    <w:rsid w:val="005E5215"/>
    <w:rsid w:val="005F5B56"/>
    <w:rsid w:val="005F7F7E"/>
    <w:rsid w:val="00614693"/>
    <w:rsid w:val="006176F4"/>
    <w:rsid w:val="00623C2F"/>
    <w:rsid w:val="00632A88"/>
    <w:rsid w:val="00633578"/>
    <w:rsid w:val="00637068"/>
    <w:rsid w:val="00650811"/>
    <w:rsid w:val="00653817"/>
    <w:rsid w:val="00661D3E"/>
    <w:rsid w:val="0067187E"/>
    <w:rsid w:val="00684FF4"/>
    <w:rsid w:val="00692627"/>
    <w:rsid w:val="006969E7"/>
    <w:rsid w:val="006A3643"/>
    <w:rsid w:val="006B445C"/>
    <w:rsid w:val="006C2A29"/>
    <w:rsid w:val="006C3BE1"/>
    <w:rsid w:val="006C64CF"/>
    <w:rsid w:val="006D17B1"/>
    <w:rsid w:val="006D708A"/>
    <w:rsid w:val="006E14C1"/>
    <w:rsid w:val="006F0292"/>
    <w:rsid w:val="006F416B"/>
    <w:rsid w:val="006F519B"/>
    <w:rsid w:val="00713675"/>
    <w:rsid w:val="007155F0"/>
    <w:rsid w:val="00715823"/>
    <w:rsid w:val="00715D94"/>
    <w:rsid w:val="00722A71"/>
    <w:rsid w:val="007300C8"/>
    <w:rsid w:val="00737B93"/>
    <w:rsid w:val="00745BF0"/>
    <w:rsid w:val="007615FE"/>
    <w:rsid w:val="0076655C"/>
    <w:rsid w:val="00766A7D"/>
    <w:rsid w:val="007742DC"/>
    <w:rsid w:val="00791437"/>
    <w:rsid w:val="00795754"/>
    <w:rsid w:val="007B0C2C"/>
    <w:rsid w:val="007B278E"/>
    <w:rsid w:val="007C1201"/>
    <w:rsid w:val="007C5C23"/>
    <w:rsid w:val="007E2A26"/>
    <w:rsid w:val="007F2348"/>
    <w:rsid w:val="00803F07"/>
    <w:rsid w:val="0080749A"/>
    <w:rsid w:val="00821AAF"/>
    <w:rsid w:val="00821E2F"/>
    <w:rsid w:val="00821FB8"/>
    <w:rsid w:val="00822ACD"/>
    <w:rsid w:val="00844EE3"/>
    <w:rsid w:val="00855C66"/>
    <w:rsid w:val="00871EE4"/>
    <w:rsid w:val="008B15BB"/>
    <w:rsid w:val="008B293F"/>
    <w:rsid w:val="008B7371"/>
    <w:rsid w:val="008D3DDB"/>
    <w:rsid w:val="008D4A87"/>
    <w:rsid w:val="008F4824"/>
    <w:rsid w:val="008F573F"/>
    <w:rsid w:val="009034EC"/>
    <w:rsid w:val="00921B1E"/>
    <w:rsid w:val="0093067A"/>
    <w:rsid w:val="00941C60"/>
    <w:rsid w:val="009528ED"/>
    <w:rsid w:val="00966D42"/>
    <w:rsid w:val="00971689"/>
    <w:rsid w:val="00973E90"/>
    <w:rsid w:val="00975B07"/>
    <w:rsid w:val="00980B4A"/>
    <w:rsid w:val="009A6D45"/>
    <w:rsid w:val="009E3D0A"/>
    <w:rsid w:val="009E51FC"/>
    <w:rsid w:val="009F1D28"/>
    <w:rsid w:val="009F7618"/>
    <w:rsid w:val="00A04D23"/>
    <w:rsid w:val="00A06766"/>
    <w:rsid w:val="00A13765"/>
    <w:rsid w:val="00A21B12"/>
    <w:rsid w:val="00A23F80"/>
    <w:rsid w:val="00A35FC3"/>
    <w:rsid w:val="00A44635"/>
    <w:rsid w:val="00A4548E"/>
    <w:rsid w:val="00A46E98"/>
    <w:rsid w:val="00A515C1"/>
    <w:rsid w:val="00A6352B"/>
    <w:rsid w:val="00A701B5"/>
    <w:rsid w:val="00A714BB"/>
    <w:rsid w:val="00A76DCF"/>
    <w:rsid w:val="00A92D8F"/>
    <w:rsid w:val="00AB2988"/>
    <w:rsid w:val="00AB57DE"/>
    <w:rsid w:val="00AB7999"/>
    <w:rsid w:val="00AD3292"/>
    <w:rsid w:val="00AE7AF0"/>
    <w:rsid w:val="00AEF1BD"/>
    <w:rsid w:val="00AF6131"/>
    <w:rsid w:val="00B308E9"/>
    <w:rsid w:val="00B42C64"/>
    <w:rsid w:val="00B500CA"/>
    <w:rsid w:val="00B519FA"/>
    <w:rsid w:val="00B558E1"/>
    <w:rsid w:val="00B7799F"/>
    <w:rsid w:val="00B84CB4"/>
    <w:rsid w:val="00B86314"/>
    <w:rsid w:val="00BA1C2E"/>
    <w:rsid w:val="00BC200B"/>
    <w:rsid w:val="00BC4756"/>
    <w:rsid w:val="00BC69A4"/>
    <w:rsid w:val="00BE0680"/>
    <w:rsid w:val="00BE305F"/>
    <w:rsid w:val="00BE7BA3"/>
    <w:rsid w:val="00BF5682"/>
    <w:rsid w:val="00BF7B09"/>
    <w:rsid w:val="00C20A95"/>
    <w:rsid w:val="00C2692F"/>
    <w:rsid w:val="00C3207C"/>
    <w:rsid w:val="00C34652"/>
    <w:rsid w:val="00C400E1"/>
    <w:rsid w:val="00C41187"/>
    <w:rsid w:val="00C63C31"/>
    <w:rsid w:val="00C757A0"/>
    <w:rsid w:val="00C760DE"/>
    <w:rsid w:val="00C82630"/>
    <w:rsid w:val="00C85B4E"/>
    <w:rsid w:val="00C8630A"/>
    <w:rsid w:val="00C907F7"/>
    <w:rsid w:val="00C93BFD"/>
    <w:rsid w:val="00C9740C"/>
    <w:rsid w:val="00CA2103"/>
    <w:rsid w:val="00CB6B99"/>
    <w:rsid w:val="00CE4C87"/>
    <w:rsid w:val="00CE544A"/>
    <w:rsid w:val="00D01A60"/>
    <w:rsid w:val="00D11E1C"/>
    <w:rsid w:val="00D160B0"/>
    <w:rsid w:val="00D17F94"/>
    <w:rsid w:val="00D223FC"/>
    <w:rsid w:val="00D26D1E"/>
    <w:rsid w:val="00D43BEB"/>
    <w:rsid w:val="00D47442"/>
    <w:rsid w:val="00D474CF"/>
    <w:rsid w:val="00D5547E"/>
    <w:rsid w:val="00D57E29"/>
    <w:rsid w:val="00D63030"/>
    <w:rsid w:val="00D6683E"/>
    <w:rsid w:val="00D90A28"/>
    <w:rsid w:val="00DA413F"/>
    <w:rsid w:val="00DA4584"/>
    <w:rsid w:val="00DA614B"/>
    <w:rsid w:val="00DC3060"/>
    <w:rsid w:val="00DD2FED"/>
    <w:rsid w:val="00DD5035"/>
    <w:rsid w:val="00DE0FB2"/>
    <w:rsid w:val="00DF093E"/>
    <w:rsid w:val="00E01F42"/>
    <w:rsid w:val="00E1291D"/>
    <w:rsid w:val="00E16BB9"/>
    <w:rsid w:val="00E206D6"/>
    <w:rsid w:val="00E3366E"/>
    <w:rsid w:val="00E52086"/>
    <w:rsid w:val="00E543A6"/>
    <w:rsid w:val="00E60479"/>
    <w:rsid w:val="00E61D73"/>
    <w:rsid w:val="00E73684"/>
    <w:rsid w:val="00E818D6"/>
    <w:rsid w:val="00E87F7A"/>
    <w:rsid w:val="00E96BD7"/>
    <w:rsid w:val="00EA0DB1"/>
    <w:rsid w:val="00EA0EE9"/>
    <w:rsid w:val="00ED52CA"/>
    <w:rsid w:val="00ED5860"/>
    <w:rsid w:val="00EE35C9"/>
    <w:rsid w:val="00F05ECA"/>
    <w:rsid w:val="00F167B0"/>
    <w:rsid w:val="00F242CC"/>
    <w:rsid w:val="00F3566E"/>
    <w:rsid w:val="00F375FB"/>
    <w:rsid w:val="00F41AC1"/>
    <w:rsid w:val="00F4367A"/>
    <w:rsid w:val="00F445B1"/>
    <w:rsid w:val="00F45CD4"/>
    <w:rsid w:val="00F66DCA"/>
    <w:rsid w:val="00F74F53"/>
    <w:rsid w:val="00F7606D"/>
    <w:rsid w:val="00F81670"/>
    <w:rsid w:val="00F82024"/>
    <w:rsid w:val="00F913EC"/>
    <w:rsid w:val="00F95BC9"/>
    <w:rsid w:val="00FA026E"/>
    <w:rsid w:val="00FA624C"/>
    <w:rsid w:val="00FD0FAC"/>
    <w:rsid w:val="00FD1DFA"/>
    <w:rsid w:val="00FD4966"/>
    <w:rsid w:val="00FE57DC"/>
    <w:rsid w:val="00FF7C7A"/>
    <w:rsid w:val="01A77713"/>
    <w:rsid w:val="04B4545C"/>
    <w:rsid w:val="06ED35F1"/>
    <w:rsid w:val="07E4A6B1"/>
    <w:rsid w:val="09E22071"/>
    <w:rsid w:val="0B51F46F"/>
    <w:rsid w:val="0D3C64A8"/>
    <w:rsid w:val="0E6E5C28"/>
    <w:rsid w:val="0F78614B"/>
    <w:rsid w:val="10187855"/>
    <w:rsid w:val="128BF35F"/>
    <w:rsid w:val="129C9CFB"/>
    <w:rsid w:val="15668CAC"/>
    <w:rsid w:val="183101B4"/>
    <w:rsid w:val="19F87FAE"/>
    <w:rsid w:val="1D776205"/>
    <w:rsid w:val="1E290566"/>
    <w:rsid w:val="1E41AD74"/>
    <w:rsid w:val="1F7515EF"/>
    <w:rsid w:val="2361731C"/>
    <w:rsid w:val="239DBF85"/>
    <w:rsid w:val="25B39695"/>
    <w:rsid w:val="274A99A4"/>
    <w:rsid w:val="282772C3"/>
    <w:rsid w:val="29B68B0B"/>
    <w:rsid w:val="2BEE017B"/>
    <w:rsid w:val="2C06976B"/>
    <w:rsid w:val="2D4870D8"/>
    <w:rsid w:val="327808EF"/>
    <w:rsid w:val="35630FB4"/>
    <w:rsid w:val="35BEE0D4"/>
    <w:rsid w:val="3625192E"/>
    <w:rsid w:val="3C8FFCEC"/>
    <w:rsid w:val="3DB93D0F"/>
    <w:rsid w:val="424872E0"/>
    <w:rsid w:val="4506D3FA"/>
    <w:rsid w:val="46666749"/>
    <w:rsid w:val="467691A1"/>
    <w:rsid w:val="48926B2C"/>
    <w:rsid w:val="4C0278ED"/>
    <w:rsid w:val="4C56815A"/>
    <w:rsid w:val="4CDB788B"/>
    <w:rsid w:val="4DB6FB0E"/>
    <w:rsid w:val="4EB6DEDC"/>
    <w:rsid w:val="5680B329"/>
    <w:rsid w:val="57ABCB3B"/>
    <w:rsid w:val="58096F7C"/>
    <w:rsid w:val="58FB691D"/>
    <w:rsid w:val="5BD23A50"/>
    <w:rsid w:val="60159AA4"/>
    <w:rsid w:val="6229413E"/>
    <w:rsid w:val="64AEC6D3"/>
    <w:rsid w:val="668BFE53"/>
    <w:rsid w:val="68E062EF"/>
    <w:rsid w:val="6A70D2FB"/>
    <w:rsid w:val="6C279D99"/>
    <w:rsid w:val="6CB8A1E8"/>
    <w:rsid w:val="6EBF3348"/>
    <w:rsid w:val="6F679781"/>
    <w:rsid w:val="72CC7E0D"/>
    <w:rsid w:val="7342F183"/>
    <w:rsid w:val="73432F3E"/>
    <w:rsid w:val="73862F10"/>
    <w:rsid w:val="76133843"/>
    <w:rsid w:val="7672BB7F"/>
    <w:rsid w:val="775C7380"/>
    <w:rsid w:val="78075464"/>
    <w:rsid w:val="790D8B5D"/>
    <w:rsid w:val="7949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46411C"/>
  <w15:docId w15:val="{09849C59-C0C1-40EC-8961-90EE3F22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normaltextrun">
    <w:name w:val="normaltextrun"/>
    <w:basedOn w:val="DefaultParagraphFont"/>
    <w:rsid w:val="005D6CC2"/>
  </w:style>
  <w:style w:type="character" w:styleId="UnresolvedMention">
    <w:name w:val="Unresolved Mention"/>
    <w:basedOn w:val="DefaultParagraphFont"/>
    <w:uiPriority w:val="99"/>
    <w:semiHidden/>
    <w:unhideWhenUsed/>
    <w:rsid w:val="0076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cal.gov.uk/publications/improvement-and-assurance-framework-local-gover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gov.uk/publications/councillors-guide-improvement-and-assurance-framework-local-govern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DDD67C1B6344995B9ED170E99066E" ma:contentTypeVersion="4" ma:contentTypeDescription="Create a new document." ma:contentTypeScope="" ma:versionID="ea6a092ce9675f4de3ddbe5ebabd8b41">
  <xsd:schema xmlns:xsd="http://www.w3.org/2001/XMLSchema" xmlns:xs="http://www.w3.org/2001/XMLSchema" xmlns:p="http://schemas.microsoft.com/office/2006/metadata/properties" xmlns:ns2="c1bf7e49-454b-4ca9-9f60-a2e31b6892eb" targetNamespace="http://schemas.microsoft.com/office/2006/metadata/properties" ma:root="true" ma:fieldsID="5870af88031ced7ea9c80ed9d1933427" ns2:_="">
    <xsd:import namespace="c1bf7e49-454b-4ca9-9f60-a2e31b6892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7e49-454b-4ca9-9f60-a2e31b68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E460-EE8C-47E7-942A-D767823043E6}">
  <ds:schemaRefs>
    <ds:schemaRef ds:uri="http://schemas.microsoft.com/sharepoint/v3/contenttype/forms"/>
  </ds:schemaRefs>
</ds:datastoreItem>
</file>

<file path=customXml/itemProps2.xml><?xml version="1.0" encoding="utf-8"?>
<ds:datastoreItem xmlns:ds="http://schemas.openxmlformats.org/officeDocument/2006/customXml" ds:itemID="{36BCFC08-5D7B-454B-B3C5-9C2B7493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7e49-454b-4ca9-9f60-a2e31b68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55B-781C-49F0-925A-074BA5E55CF8}">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1bf7e49-454b-4ca9-9f60-a2e31b6892eb"/>
    <ds:schemaRef ds:uri="http://www.w3.org/XML/1998/namespace"/>
    <ds:schemaRef ds:uri="http://purl.org/dc/dcmitype/"/>
  </ds:schemaRefs>
</ds:datastoreItem>
</file>

<file path=customXml/itemProps4.xml><?xml version="1.0" encoding="utf-8"?>
<ds:datastoreItem xmlns:ds="http://schemas.openxmlformats.org/officeDocument/2006/customXml" ds:itemID="{C41ED3A9-6BDF-4C87-8DB3-375CA62C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1527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REYESLAO Celeste</cp:lastModifiedBy>
  <cp:revision>5</cp:revision>
  <cp:lastPrinted>2015-07-03T12:50:00Z</cp:lastPrinted>
  <dcterms:created xsi:type="dcterms:W3CDTF">2024-10-24T09:15:00Z</dcterms:created>
  <dcterms:modified xsi:type="dcterms:W3CDTF">2024-10-24T10:24:00Z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0x010100104DDD67C1B6344995B9ED170E99066E</vt:lpwstr>
  </property>
</Properties>
</file>